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91C" w:rsidRDefault="0046491C" w:rsidP="00E34F08">
      <w:pPr>
        <w:spacing w:after="0" w:line="360" w:lineRule="auto"/>
        <w:jc w:val="both"/>
        <w:rPr>
          <w:rFonts w:ascii="Palatino Linotype" w:hAnsi="Palatino Linotype" w:cs="Arial"/>
          <w:b/>
          <w:sz w:val="24"/>
          <w:szCs w:val="24"/>
        </w:rPr>
      </w:pPr>
      <w:r w:rsidRPr="00072966">
        <w:rPr>
          <w:rFonts w:ascii="Palatino Linotype" w:hAnsi="Palatino Linotype" w:cs="Arial"/>
          <w:b/>
          <w:sz w:val="24"/>
          <w:szCs w:val="24"/>
        </w:rPr>
        <w:t>VOTO PARTICULAR DEL COMISIONADO JOSÉ GUADA</w:t>
      </w:r>
      <w:r w:rsidR="00D72985" w:rsidRPr="00072966">
        <w:rPr>
          <w:rFonts w:ascii="Palatino Linotype" w:hAnsi="Palatino Linotype" w:cs="Arial"/>
          <w:b/>
          <w:sz w:val="24"/>
          <w:szCs w:val="24"/>
        </w:rPr>
        <w:t>LUPE LUNA HERNÁNDEZ DEL RECURSO</w:t>
      </w:r>
      <w:r w:rsidR="00BF3534" w:rsidRPr="00072966">
        <w:rPr>
          <w:rFonts w:ascii="Palatino Linotype" w:hAnsi="Palatino Linotype" w:cs="Arial"/>
          <w:b/>
          <w:sz w:val="24"/>
          <w:szCs w:val="24"/>
        </w:rPr>
        <w:t xml:space="preserve"> DE REVISIÓN </w:t>
      </w:r>
      <w:r w:rsidR="00C872FA">
        <w:rPr>
          <w:rFonts w:ascii="Palatino Linotype" w:hAnsi="Palatino Linotype" w:cs="Arial"/>
          <w:b/>
          <w:sz w:val="24"/>
          <w:szCs w:val="24"/>
        </w:rPr>
        <w:t>03906</w:t>
      </w:r>
      <w:r w:rsidR="00C7250F" w:rsidRPr="00072966">
        <w:rPr>
          <w:rFonts w:ascii="Palatino Linotype" w:hAnsi="Palatino Linotype" w:cs="Arial"/>
          <w:b/>
          <w:sz w:val="24"/>
          <w:szCs w:val="24"/>
        </w:rPr>
        <w:t>/INFOEM/IP/RR/2018</w:t>
      </w:r>
      <w:r w:rsidR="0000525F" w:rsidRPr="00072966">
        <w:rPr>
          <w:rFonts w:ascii="Palatino Linotype" w:hAnsi="Palatino Linotype" w:cs="Arial"/>
          <w:b/>
          <w:sz w:val="24"/>
          <w:szCs w:val="24"/>
        </w:rPr>
        <w:t>.</w:t>
      </w:r>
    </w:p>
    <w:p w:rsidR="0082452E" w:rsidRPr="00072966" w:rsidRDefault="0082452E" w:rsidP="00E34F08">
      <w:pPr>
        <w:spacing w:after="0" w:line="360" w:lineRule="auto"/>
        <w:jc w:val="both"/>
        <w:rPr>
          <w:rFonts w:ascii="Palatino Linotype" w:hAnsi="Palatino Linotype" w:cs="Arial"/>
          <w:sz w:val="24"/>
          <w:szCs w:val="24"/>
        </w:rPr>
      </w:pPr>
    </w:p>
    <w:p w:rsidR="0046491C" w:rsidRPr="00072966" w:rsidRDefault="0046491C" w:rsidP="00E34F08">
      <w:pPr>
        <w:spacing w:after="0" w:line="360" w:lineRule="auto"/>
        <w:jc w:val="both"/>
        <w:rPr>
          <w:rFonts w:ascii="Palatino Linotype" w:hAnsi="Palatino Linotype" w:cs="Arial"/>
          <w:b/>
          <w:sz w:val="24"/>
          <w:szCs w:val="24"/>
        </w:rPr>
      </w:pPr>
      <w:r w:rsidRPr="00072966">
        <w:rPr>
          <w:rFonts w:ascii="Palatino Linotype" w:hAnsi="Palatino Linotype" w:cs="Arial"/>
          <w:b/>
          <w:sz w:val="24"/>
          <w:szCs w:val="24"/>
        </w:rPr>
        <w:t>Líneas argumentativas:</w:t>
      </w:r>
    </w:p>
    <w:p w:rsidR="00902248" w:rsidRPr="00072966" w:rsidRDefault="00902248" w:rsidP="00E34F08">
      <w:pPr>
        <w:spacing w:after="0" w:line="240" w:lineRule="auto"/>
        <w:jc w:val="both"/>
        <w:rPr>
          <w:rFonts w:ascii="Palatino Linotype" w:hAnsi="Palatino Linotype" w:cs="Arial"/>
          <w:sz w:val="24"/>
          <w:szCs w:val="24"/>
        </w:rPr>
      </w:pPr>
    </w:p>
    <w:p w:rsidR="0046491C" w:rsidRPr="0082452E" w:rsidRDefault="0046491C" w:rsidP="00E34F08">
      <w:pPr>
        <w:spacing w:after="0" w:line="360" w:lineRule="auto"/>
        <w:jc w:val="both"/>
        <w:rPr>
          <w:rFonts w:ascii="Palatino Linotype" w:hAnsi="Palatino Linotype" w:cs="Arial"/>
          <w:szCs w:val="24"/>
        </w:rPr>
      </w:pPr>
      <w:r w:rsidRPr="0082452E">
        <w:rPr>
          <w:rFonts w:ascii="Palatino Linotype" w:hAnsi="Palatino Linotype" w:cs="Arial"/>
          <w:szCs w:val="24"/>
        </w:rPr>
        <w:t>La falta de impugnación respecto al resto de los requerimientos que no fueron manifestados en el recurso de revisión, no debe entenderse como actos consentidos.</w:t>
      </w:r>
    </w:p>
    <w:p w:rsidR="00902248" w:rsidRPr="0082452E" w:rsidRDefault="00902248" w:rsidP="00E34F08">
      <w:pPr>
        <w:spacing w:after="0" w:line="240" w:lineRule="auto"/>
        <w:jc w:val="both"/>
        <w:rPr>
          <w:rFonts w:ascii="Palatino Linotype" w:hAnsi="Palatino Linotype" w:cs="Arial"/>
          <w:szCs w:val="24"/>
        </w:rPr>
      </w:pPr>
    </w:p>
    <w:p w:rsidR="0046491C" w:rsidRPr="0082452E" w:rsidRDefault="0046491C" w:rsidP="00E34F08">
      <w:pPr>
        <w:spacing w:after="0" w:line="360" w:lineRule="auto"/>
        <w:jc w:val="both"/>
        <w:rPr>
          <w:rFonts w:ascii="Palatino Linotype" w:hAnsi="Palatino Linotype" w:cs="Arial"/>
          <w:szCs w:val="24"/>
        </w:rPr>
      </w:pPr>
      <w:r w:rsidRPr="0082452E">
        <w:rPr>
          <w:rFonts w:ascii="Palatino Linotype" w:hAnsi="Palatino Linotype" w:cs="Arial"/>
          <w:szCs w:val="24"/>
        </w:rPr>
        <w:t>La figura de actos consentidos no debe ser invocada en el derecho humano fundamental de acceder a la información pública gubernamental.</w:t>
      </w:r>
    </w:p>
    <w:p w:rsidR="0001046D" w:rsidRPr="0082452E" w:rsidRDefault="0001046D" w:rsidP="00E34F08">
      <w:pPr>
        <w:spacing w:after="0" w:line="240" w:lineRule="auto"/>
        <w:jc w:val="both"/>
        <w:rPr>
          <w:rFonts w:ascii="Palatino Linotype" w:hAnsi="Palatino Linotype" w:cs="Arial"/>
          <w:szCs w:val="24"/>
        </w:rPr>
      </w:pPr>
    </w:p>
    <w:p w:rsidR="0046491C" w:rsidRPr="0082452E" w:rsidRDefault="0046491C" w:rsidP="00E34F08">
      <w:pPr>
        <w:spacing w:after="0" w:line="360" w:lineRule="auto"/>
        <w:jc w:val="both"/>
        <w:rPr>
          <w:rFonts w:ascii="Palatino Linotype" w:hAnsi="Palatino Linotype" w:cs="Arial"/>
          <w:szCs w:val="24"/>
        </w:rPr>
      </w:pPr>
      <w:r w:rsidRPr="0082452E">
        <w:rPr>
          <w:rFonts w:ascii="Palatino Linotype" w:hAnsi="Palatino Linotype" w:cs="Arial"/>
          <w:szCs w:val="24"/>
        </w:rPr>
        <w:t>El Órgano Garante del derecho de acceso a la información pública no debe imponerles las cargas formales del proceso jurisdiccional a los particulares.</w:t>
      </w:r>
    </w:p>
    <w:p w:rsidR="0046491C" w:rsidRPr="0082452E" w:rsidRDefault="0046491C" w:rsidP="00E34F08">
      <w:pPr>
        <w:spacing w:after="0" w:line="240" w:lineRule="auto"/>
        <w:jc w:val="both"/>
        <w:rPr>
          <w:rFonts w:ascii="Palatino Linotype" w:hAnsi="Palatino Linotype" w:cs="Arial"/>
          <w:szCs w:val="24"/>
        </w:rPr>
      </w:pPr>
    </w:p>
    <w:p w:rsidR="0046491C" w:rsidRPr="0082452E" w:rsidRDefault="0046491C" w:rsidP="00E34F08">
      <w:pPr>
        <w:spacing w:after="0" w:line="360" w:lineRule="auto"/>
        <w:jc w:val="both"/>
        <w:rPr>
          <w:rFonts w:ascii="Palatino Linotype" w:hAnsi="Palatino Linotype" w:cs="Arial"/>
          <w:szCs w:val="24"/>
        </w:rPr>
      </w:pPr>
      <w:r w:rsidRPr="0082452E">
        <w:rPr>
          <w:rFonts w:ascii="Palatino Linotype" w:hAnsi="Palatino Linotype" w:cs="Arial"/>
          <w:szCs w:val="24"/>
        </w:rPr>
        <w:t>Lo que este Órgano Garante realice en materia de suplencia de la queja no afecta la igualdad de las partes sino procura el cumplimiento de los deberes de protección del derecho humano.</w:t>
      </w:r>
    </w:p>
    <w:p w:rsidR="0046491C" w:rsidRPr="0082452E" w:rsidRDefault="0046491C" w:rsidP="00E34F08">
      <w:pPr>
        <w:spacing w:after="0" w:line="240" w:lineRule="auto"/>
        <w:jc w:val="both"/>
        <w:rPr>
          <w:rFonts w:ascii="Palatino Linotype" w:hAnsi="Palatino Linotype" w:cs="Arial"/>
          <w:szCs w:val="24"/>
        </w:rPr>
      </w:pPr>
    </w:p>
    <w:p w:rsidR="0046491C" w:rsidRDefault="0046491C" w:rsidP="00E34F08">
      <w:pPr>
        <w:spacing w:after="0" w:line="360" w:lineRule="auto"/>
        <w:jc w:val="both"/>
        <w:rPr>
          <w:rFonts w:ascii="Palatino Linotype" w:hAnsi="Palatino Linotype" w:cs="Arial"/>
          <w:szCs w:val="24"/>
        </w:rPr>
      </w:pPr>
      <w:r w:rsidRPr="0082452E">
        <w:rPr>
          <w:rFonts w:ascii="Palatino Linotype" w:hAnsi="Palatino Linotype" w:cs="Arial"/>
          <w:szCs w:val="24"/>
        </w:rPr>
        <w:t>Restringir el derecho de acceso a la información pública del particular al no ordenar la información solicitada por no impugnar la falta de entrega de los documentos solicitados, debilita la efectividad de la  garantía de este derecho humano al hacerla depender de un hecho desconocido.</w:t>
      </w:r>
    </w:p>
    <w:p w:rsidR="0082452E" w:rsidRPr="0082452E" w:rsidRDefault="0082452E" w:rsidP="00E34F08">
      <w:pPr>
        <w:spacing w:after="0" w:line="360" w:lineRule="auto"/>
        <w:jc w:val="both"/>
        <w:rPr>
          <w:rFonts w:ascii="Palatino Linotype" w:hAnsi="Palatino Linotype" w:cs="Arial"/>
          <w:szCs w:val="24"/>
        </w:rPr>
      </w:pPr>
    </w:p>
    <w:p w:rsidR="0046491C" w:rsidRPr="0082452E" w:rsidRDefault="0046491C" w:rsidP="00E34F08">
      <w:pPr>
        <w:spacing w:after="0" w:line="360" w:lineRule="auto"/>
        <w:jc w:val="both"/>
        <w:rPr>
          <w:rFonts w:ascii="Palatino Linotype" w:hAnsi="Palatino Linotype" w:cs="Arial"/>
          <w:szCs w:val="24"/>
        </w:rPr>
      </w:pPr>
      <w:r w:rsidRPr="0082452E">
        <w:rPr>
          <w:rFonts w:ascii="Palatino Linotype" w:hAnsi="Palatino Linotype" w:cs="Arial"/>
          <w:szCs w:val="24"/>
        </w:rPr>
        <w:t>Los órganos del Estado, tienen el deber que tienen dentro del margen de sus atribuciones, de prevenir violaciones a los derechos fundamentales.</w:t>
      </w:r>
    </w:p>
    <w:p w:rsidR="00702BD9" w:rsidRDefault="00702BD9" w:rsidP="00E34F08">
      <w:pPr>
        <w:spacing w:after="0" w:line="360" w:lineRule="auto"/>
        <w:jc w:val="both"/>
        <w:rPr>
          <w:rFonts w:ascii="Palatino Linotype" w:hAnsi="Palatino Linotype" w:cs="Arial"/>
          <w:sz w:val="24"/>
          <w:szCs w:val="24"/>
        </w:rPr>
      </w:pPr>
    </w:p>
    <w:p w:rsidR="0046491C" w:rsidRPr="00072966" w:rsidRDefault="0046491C" w:rsidP="00E34F08">
      <w:pPr>
        <w:spacing w:after="0" w:line="360" w:lineRule="auto"/>
        <w:jc w:val="both"/>
        <w:rPr>
          <w:rFonts w:ascii="Palatino Linotype" w:hAnsi="Palatino Linotype" w:cs="Arial"/>
          <w:sz w:val="24"/>
          <w:szCs w:val="24"/>
        </w:rPr>
      </w:pPr>
      <w:r w:rsidRPr="00072966">
        <w:rPr>
          <w:rFonts w:ascii="Palatino Linotype" w:hAnsi="Palatino Linotype" w:cs="Arial"/>
          <w:b/>
          <w:sz w:val="24"/>
          <w:szCs w:val="24"/>
        </w:rPr>
        <w:lastRenderedPageBreak/>
        <w:t>Índice</w:t>
      </w:r>
    </w:p>
    <w:sdt>
      <w:sdtPr>
        <w:rPr>
          <w:rFonts w:ascii="Palatino Linotype" w:eastAsiaTheme="minorHAnsi" w:hAnsi="Palatino Linotype" w:cstheme="minorBidi"/>
          <w:color w:val="auto"/>
          <w:sz w:val="22"/>
          <w:szCs w:val="22"/>
          <w:lang w:val="es-ES" w:eastAsia="en-US"/>
        </w:rPr>
        <w:id w:val="-1628690016"/>
        <w:docPartObj>
          <w:docPartGallery w:val="Table of Contents"/>
          <w:docPartUnique/>
        </w:docPartObj>
      </w:sdtPr>
      <w:sdtEndPr>
        <w:rPr>
          <w:b/>
          <w:bCs/>
        </w:rPr>
      </w:sdtEndPr>
      <w:sdtContent>
        <w:p w:rsidR="0046491C" w:rsidRPr="00072966" w:rsidRDefault="0046491C" w:rsidP="00E34F08">
          <w:pPr>
            <w:pStyle w:val="TtulodeTDC"/>
            <w:spacing w:line="360" w:lineRule="auto"/>
            <w:rPr>
              <w:rFonts w:ascii="Palatino Linotype" w:hAnsi="Palatino Linotype"/>
            </w:rPr>
          </w:pPr>
        </w:p>
        <w:p w:rsidR="007C43FB" w:rsidRDefault="0046491C">
          <w:pPr>
            <w:pStyle w:val="TDC1"/>
            <w:tabs>
              <w:tab w:val="left" w:pos="440"/>
              <w:tab w:val="right" w:leader="dot" w:pos="8828"/>
            </w:tabs>
            <w:rPr>
              <w:rFonts w:eastAsiaTheme="minorEastAsia"/>
              <w:noProof/>
              <w:lang w:eastAsia="es-MX"/>
            </w:rPr>
          </w:pPr>
          <w:r w:rsidRPr="00072966">
            <w:rPr>
              <w:rFonts w:ascii="Palatino Linotype" w:hAnsi="Palatino Linotype"/>
            </w:rPr>
            <w:fldChar w:fldCharType="begin"/>
          </w:r>
          <w:r w:rsidRPr="00072966">
            <w:rPr>
              <w:rFonts w:ascii="Palatino Linotype" w:hAnsi="Palatino Linotype"/>
            </w:rPr>
            <w:instrText xml:space="preserve"> TOC \o "1-3" \h \z \u </w:instrText>
          </w:r>
          <w:r w:rsidRPr="00072966">
            <w:rPr>
              <w:rFonts w:ascii="Palatino Linotype" w:hAnsi="Palatino Linotype"/>
            </w:rPr>
            <w:fldChar w:fldCharType="separate"/>
          </w:r>
          <w:hyperlink w:anchor="_Toc525572735" w:history="1">
            <w:r w:rsidR="007C43FB" w:rsidRPr="00CA42C3">
              <w:rPr>
                <w:rStyle w:val="Hipervnculo"/>
                <w:rFonts w:ascii="Palatino Linotype" w:hAnsi="Palatino Linotype"/>
                <w:b/>
                <w:noProof/>
              </w:rPr>
              <w:t>I.</w:t>
            </w:r>
            <w:r w:rsidR="007C43FB">
              <w:rPr>
                <w:rFonts w:eastAsiaTheme="minorEastAsia"/>
                <w:noProof/>
                <w:lang w:eastAsia="es-MX"/>
              </w:rPr>
              <w:tab/>
            </w:r>
            <w:r w:rsidR="007C43FB" w:rsidRPr="00CA42C3">
              <w:rPr>
                <w:rStyle w:val="Hipervnculo"/>
                <w:rFonts w:ascii="Palatino Linotype" w:hAnsi="Palatino Linotype"/>
                <w:b/>
                <w:noProof/>
              </w:rPr>
              <w:t>Consideraciones Generales.</w:t>
            </w:r>
            <w:r w:rsidR="007C43FB">
              <w:rPr>
                <w:noProof/>
                <w:webHidden/>
              </w:rPr>
              <w:tab/>
            </w:r>
            <w:r w:rsidR="007C43FB">
              <w:rPr>
                <w:noProof/>
                <w:webHidden/>
              </w:rPr>
              <w:fldChar w:fldCharType="begin"/>
            </w:r>
            <w:r w:rsidR="007C43FB">
              <w:rPr>
                <w:noProof/>
                <w:webHidden/>
              </w:rPr>
              <w:instrText xml:space="preserve"> PAGEREF _Toc525572735 \h </w:instrText>
            </w:r>
            <w:r w:rsidR="007C43FB">
              <w:rPr>
                <w:noProof/>
                <w:webHidden/>
              </w:rPr>
            </w:r>
            <w:r w:rsidR="007C43FB">
              <w:rPr>
                <w:noProof/>
                <w:webHidden/>
              </w:rPr>
              <w:fldChar w:fldCharType="separate"/>
            </w:r>
            <w:r w:rsidR="007C43FB">
              <w:rPr>
                <w:noProof/>
                <w:webHidden/>
              </w:rPr>
              <w:t>2</w:t>
            </w:r>
            <w:r w:rsidR="007C43FB">
              <w:rPr>
                <w:noProof/>
                <w:webHidden/>
              </w:rPr>
              <w:fldChar w:fldCharType="end"/>
            </w:r>
          </w:hyperlink>
        </w:p>
        <w:p w:rsidR="007C43FB" w:rsidRDefault="00611BE3">
          <w:pPr>
            <w:pStyle w:val="TDC1"/>
            <w:tabs>
              <w:tab w:val="left" w:pos="660"/>
              <w:tab w:val="right" w:leader="dot" w:pos="8828"/>
            </w:tabs>
            <w:rPr>
              <w:rFonts w:eastAsiaTheme="minorEastAsia"/>
              <w:noProof/>
              <w:lang w:eastAsia="es-MX"/>
            </w:rPr>
          </w:pPr>
          <w:hyperlink w:anchor="_Toc525572736" w:history="1">
            <w:r w:rsidR="007C43FB" w:rsidRPr="00CA42C3">
              <w:rPr>
                <w:rStyle w:val="Hipervnculo"/>
                <w:rFonts w:ascii="Palatino Linotype" w:hAnsi="Palatino Linotype"/>
                <w:b/>
                <w:noProof/>
              </w:rPr>
              <w:t>II.</w:t>
            </w:r>
            <w:r w:rsidR="007C43FB">
              <w:rPr>
                <w:rFonts w:eastAsiaTheme="minorEastAsia"/>
                <w:noProof/>
                <w:lang w:eastAsia="es-MX"/>
              </w:rPr>
              <w:tab/>
            </w:r>
            <w:r w:rsidR="007C43FB" w:rsidRPr="00CA42C3">
              <w:rPr>
                <w:rStyle w:val="Hipervnculo"/>
                <w:rFonts w:ascii="Palatino Linotype" w:hAnsi="Palatino Linotype"/>
                <w:b/>
                <w:noProof/>
              </w:rPr>
              <w:t>De los requerimientos planteados en el recurso de revisión.</w:t>
            </w:r>
            <w:r w:rsidR="007C43FB">
              <w:rPr>
                <w:noProof/>
                <w:webHidden/>
              </w:rPr>
              <w:tab/>
            </w:r>
            <w:r w:rsidR="007C43FB">
              <w:rPr>
                <w:noProof/>
                <w:webHidden/>
              </w:rPr>
              <w:fldChar w:fldCharType="begin"/>
            </w:r>
            <w:r w:rsidR="007C43FB">
              <w:rPr>
                <w:noProof/>
                <w:webHidden/>
              </w:rPr>
              <w:instrText xml:space="preserve"> PAGEREF _Toc525572736 \h </w:instrText>
            </w:r>
            <w:r w:rsidR="007C43FB">
              <w:rPr>
                <w:noProof/>
                <w:webHidden/>
              </w:rPr>
            </w:r>
            <w:r w:rsidR="007C43FB">
              <w:rPr>
                <w:noProof/>
                <w:webHidden/>
              </w:rPr>
              <w:fldChar w:fldCharType="separate"/>
            </w:r>
            <w:r w:rsidR="007C43FB">
              <w:rPr>
                <w:noProof/>
                <w:webHidden/>
              </w:rPr>
              <w:t>3</w:t>
            </w:r>
            <w:r w:rsidR="007C43FB">
              <w:rPr>
                <w:noProof/>
                <w:webHidden/>
              </w:rPr>
              <w:fldChar w:fldCharType="end"/>
            </w:r>
          </w:hyperlink>
        </w:p>
        <w:p w:rsidR="007C43FB" w:rsidRDefault="00611BE3">
          <w:pPr>
            <w:pStyle w:val="TDC1"/>
            <w:tabs>
              <w:tab w:val="left" w:pos="660"/>
              <w:tab w:val="right" w:leader="dot" w:pos="8828"/>
            </w:tabs>
            <w:rPr>
              <w:rFonts w:eastAsiaTheme="minorEastAsia"/>
              <w:noProof/>
              <w:lang w:eastAsia="es-MX"/>
            </w:rPr>
          </w:pPr>
          <w:hyperlink w:anchor="_Toc525572737" w:history="1">
            <w:r w:rsidR="007C43FB" w:rsidRPr="00CA42C3">
              <w:rPr>
                <w:rStyle w:val="Hipervnculo"/>
                <w:rFonts w:ascii="Palatino Linotype" w:hAnsi="Palatino Linotype"/>
                <w:b/>
                <w:noProof/>
              </w:rPr>
              <w:t>III.</w:t>
            </w:r>
            <w:r w:rsidR="007C43FB">
              <w:rPr>
                <w:rFonts w:eastAsiaTheme="minorEastAsia"/>
                <w:noProof/>
                <w:lang w:eastAsia="es-MX"/>
              </w:rPr>
              <w:tab/>
            </w:r>
            <w:r w:rsidR="007C43FB" w:rsidRPr="00CA42C3">
              <w:rPr>
                <w:rStyle w:val="Hipervnculo"/>
                <w:rFonts w:ascii="Palatino Linotype" w:hAnsi="Palatino Linotype"/>
                <w:b/>
                <w:noProof/>
              </w:rPr>
              <w:t>Los actos consentidos no deben invocarse en el derecho fundamental de acceder a la información pública gubernamental.</w:t>
            </w:r>
            <w:r w:rsidR="007C43FB">
              <w:rPr>
                <w:noProof/>
                <w:webHidden/>
              </w:rPr>
              <w:tab/>
            </w:r>
            <w:r w:rsidR="007C43FB">
              <w:rPr>
                <w:noProof/>
                <w:webHidden/>
              </w:rPr>
              <w:fldChar w:fldCharType="begin"/>
            </w:r>
            <w:r w:rsidR="007C43FB">
              <w:rPr>
                <w:noProof/>
                <w:webHidden/>
              </w:rPr>
              <w:instrText xml:space="preserve"> PAGEREF _Toc525572737 \h </w:instrText>
            </w:r>
            <w:r w:rsidR="007C43FB">
              <w:rPr>
                <w:noProof/>
                <w:webHidden/>
              </w:rPr>
            </w:r>
            <w:r w:rsidR="007C43FB">
              <w:rPr>
                <w:noProof/>
                <w:webHidden/>
              </w:rPr>
              <w:fldChar w:fldCharType="separate"/>
            </w:r>
            <w:r w:rsidR="007C43FB">
              <w:rPr>
                <w:noProof/>
                <w:webHidden/>
              </w:rPr>
              <w:t>10</w:t>
            </w:r>
            <w:r w:rsidR="007C43FB">
              <w:rPr>
                <w:noProof/>
                <w:webHidden/>
              </w:rPr>
              <w:fldChar w:fldCharType="end"/>
            </w:r>
          </w:hyperlink>
        </w:p>
        <w:p w:rsidR="0046491C" w:rsidRPr="00072966" w:rsidRDefault="0046491C" w:rsidP="00E34F08">
          <w:pPr>
            <w:spacing w:line="360" w:lineRule="auto"/>
            <w:rPr>
              <w:rFonts w:ascii="Palatino Linotype" w:hAnsi="Palatino Linotype"/>
            </w:rPr>
          </w:pPr>
          <w:r w:rsidRPr="00072966">
            <w:rPr>
              <w:rFonts w:ascii="Palatino Linotype" w:hAnsi="Palatino Linotype"/>
              <w:b/>
              <w:bCs/>
              <w:lang w:val="es-ES"/>
            </w:rPr>
            <w:fldChar w:fldCharType="end"/>
          </w:r>
        </w:p>
      </w:sdtContent>
    </w:sdt>
    <w:p w:rsidR="00072966" w:rsidRDefault="00072966" w:rsidP="00072966">
      <w:pPr>
        <w:pStyle w:val="Ttulo1"/>
        <w:spacing w:line="360" w:lineRule="auto"/>
        <w:rPr>
          <w:rFonts w:ascii="Palatino Linotype" w:hAnsi="Palatino Linotype"/>
          <w:b/>
          <w:color w:val="auto"/>
          <w:sz w:val="24"/>
          <w:szCs w:val="24"/>
        </w:rPr>
      </w:pPr>
    </w:p>
    <w:p w:rsidR="00702BD9" w:rsidRDefault="00702BD9" w:rsidP="00702BD9"/>
    <w:p w:rsidR="00702BD9" w:rsidRDefault="00702BD9" w:rsidP="00702BD9"/>
    <w:p w:rsidR="00937AD9" w:rsidRDefault="00937AD9" w:rsidP="00702BD9"/>
    <w:p w:rsidR="00702BD9" w:rsidRPr="00702BD9" w:rsidRDefault="00702BD9" w:rsidP="00702BD9"/>
    <w:p w:rsidR="0046491C" w:rsidRPr="00072966" w:rsidRDefault="0046491C" w:rsidP="00E34F08">
      <w:pPr>
        <w:pStyle w:val="Ttulo1"/>
        <w:numPr>
          <w:ilvl w:val="0"/>
          <w:numId w:val="12"/>
        </w:numPr>
        <w:spacing w:line="360" w:lineRule="auto"/>
        <w:rPr>
          <w:rFonts w:ascii="Palatino Linotype" w:hAnsi="Palatino Linotype"/>
          <w:b/>
          <w:color w:val="auto"/>
          <w:sz w:val="24"/>
          <w:szCs w:val="24"/>
        </w:rPr>
      </w:pPr>
      <w:bookmarkStart w:id="0" w:name="_Toc525572735"/>
      <w:r w:rsidRPr="00072966">
        <w:rPr>
          <w:rFonts w:ascii="Palatino Linotype" w:hAnsi="Palatino Linotype"/>
          <w:b/>
          <w:color w:val="auto"/>
          <w:sz w:val="24"/>
          <w:szCs w:val="24"/>
        </w:rPr>
        <w:t>Consideraciones Generales.</w:t>
      </w:r>
      <w:bookmarkEnd w:id="0"/>
    </w:p>
    <w:p w:rsidR="0046491C" w:rsidRPr="00072966" w:rsidRDefault="0046491C" w:rsidP="00E34F08">
      <w:pPr>
        <w:pStyle w:val="Prrafodelista"/>
        <w:spacing w:after="0" w:line="360" w:lineRule="auto"/>
        <w:ind w:left="1080"/>
        <w:jc w:val="both"/>
        <w:rPr>
          <w:rFonts w:ascii="Palatino Linotype" w:hAnsi="Palatino Linotype" w:cs="Arial"/>
          <w:b/>
          <w:sz w:val="24"/>
          <w:szCs w:val="24"/>
        </w:rPr>
      </w:pPr>
    </w:p>
    <w:p w:rsidR="0046491C" w:rsidRPr="00B62245"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72966">
        <w:rPr>
          <w:rFonts w:ascii="Palatino Linotype" w:eastAsia="Times New Roman" w:hAnsi="Palatino Linotype" w:cs="Arial"/>
          <w:sz w:val="24"/>
          <w:szCs w:val="24"/>
          <w:lang w:val="es-ES_tradnl"/>
        </w:rPr>
        <w:t xml:space="preserve">He concurrido con mi </w:t>
      </w:r>
      <w:r w:rsidR="00D33AF9" w:rsidRPr="00072966">
        <w:rPr>
          <w:rFonts w:ascii="Palatino Linotype" w:eastAsia="Times New Roman" w:hAnsi="Palatino Linotype" w:cs="Arial"/>
          <w:sz w:val="24"/>
          <w:szCs w:val="24"/>
          <w:lang w:val="es-ES_tradnl"/>
        </w:rPr>
        <w:t>voto</w:t>
      </w:r>
      <w:r w:rsidRPr="00072966">
        <w:rPr>
          <w:rFonts w:ascii="Palatino Linotype" w:eastAsia="Times New Roman" w:hAnsi="Palatino Linotype" w:cs="Arial"/>
          <w:sz w:val="24"/>
          <w:szCs w:val="24"/>
          <w:lang w:val="es-ES_tradnl"/>
        </w:rPr>
        <w:t xml:space="preserve"> particular de la presente resolución emitida </w:t>
      </w:r>
      <w:r w:rsidRPr="00072966">
        <w:rPr>
          <w:rFonts w:ascii="Palatino Linotype" w:hAnsi="Palatino Linotype" w:cs="Arial"/>
          <w:sz w:val="24"/>
          <w:szCs w:val="24"/>
        </w:rPr>
        <w:t>por el Pleno del Instituto de Transparencia, Acceso a la Información Pública y Protección de Datos Personales del Estado de Méxi</w:t>
      </w:r>
      <w:r w:rsidR="002C1F75" w:rsidRPr="00072966">
        <w:rPr>
          <w:rFonts w:ascii="Palatino Linotype" w:hAnsi="Palatino Linotype" w:cs="Arial"/>
          <w:sz w:val="24"/>
          <w:szCs w:val="24"/>
        </w:rPr>
        <w:t>co y Municipios, en su</w:t>
      </w:r>
      <w:r w:rsidR="000D1743">
        <w:rPr>
          <w:rFonts w:ascii="Palatino Linotype" w:hAnsi="Palatino Linotype" w:cs="Arial"/>
          <w:sz w:val="24"/>
          <w:szCs w:val="24"/>
        </w:rPr>
        <w:t xml:space="preserve"> </w:t>
      </w:r>
      <w:r w:rsidR="00817341">
        <w:rPr>
          <w:rFonts w:ascii="Palatino Linotype" w:hAnsi="Palatino Linotype" w:cs="Arial"/>
          <w:sz w:val="24"/>
          <w:szCs w:val="24"/>
        </w:rPr>
        <w:t xml:space="preserve">Cuadragésimo Quinta </w:t>
      </w:r>
      <w:r w:rsidRPr="00072966">
        <w:rPr>
          <w:rFonts w:ascii="Palatino Linotype" w:hAnsi="Palatino Linotype" w:cs="Arial"/>
          <w:sz w:val="24"/>
          <w:szCs w:val="24"/>
        </w:rPr>
        <w:t xml:space="preserve">sesión ordinaria </w:t>
      </w:r>
      <w:r w:rsidR="00C7250F" w:rsidRPr="00072966">
        <w:rPr>
          <w:rFonts w:ascii="Palatino Linotype" w:hAnsi="Palatino Linotype" w:cs="Arial"/>
          <w:sz w:val="24"/>
          <w:szCs w:val="24"/>
        </w:rPr>
        <w:t xml:space="preserve">de fecha </w:t>
      </w:r>
      <w:r w:rsidR="00817341">
        <w:rPr>
          <w:rFonts w:ascii="Palatino Linotype" w:hAnsi="Palatino Linotype" w:cs="Arial"/>
          <w:sz w:val="24"/>
          <w:szCs w:val="24"/>
        </w:rPr>
        <w:t>seis</w:t>
      </w:r>
      <w:r w:rsidRPr="00072966">
        <w:rPr>
          <w:rFonts w:ascii="Palatino Linotype" w:hAnsi="Palatino Linotype" w:cs="Arial"/>
          <w:sz w:val="24"/>
          <w:szCs w:val="24"/>
        </w:rPr>
        <w:t xml:space="preserve"> (</w:t>
      </w:r>
      <w:r w:rsidR="00817341">
        <w:rPr>
          <w:rFonts w:ascii="Palatino Linotype" w:hAnsi="Palatino Linotype" w:cs="Arial"/>
          <w:sz w:val="24"/>
          <w:szCs w:val="24"/>
        </w:rPr>
        <w:t>06</w:t>
      </w:r>
      <w:r w:rsidR="00225026" w:rsidRPr="00072966">
        <w:rPr>
          <w:rFonts w:ascii="Palatino Linotype" w:hAnsi="Palatino Linotype" w:cs="Arial"/>
          <w:sz w:val="24"/>
          <w:szCs w:val="24"/>
        </w:rPr>
        <w:t xml:space="preserve">) de </w:t>
      </w:r>
      <w:r w:rsidR="0082452E">
        <w:rPr>
          <w:rFonts w:ascii="Palatino Linotype" w:hAnsi="Palatino Linotype" w:cs="Arial"/>
          <w:sz w:val="24"/>
          <w:szCs w:val="24"/>
        </w:rPr>
        <w:t>diciembre</w:t>
      </w:r>
      <w:r w:rsidR="00C7250F" w:rsidRPr="00072966">
        <w:rPr>
          <w:rFonts w:ascii="Palatino Linotype" w:hAnsi="Palatino Linotype" w:cs="Arial"/>
          <w:sz w:val="24"/>
          <w:szCs w:val="24"/>
        </w:rPr>
        <w:t xml:space="preserve"> </w:t>
      </w:r>
      <w:r w:rsidR="0076241F" w:rsidRPr="00072966">
        <w:rPr>
          <w:rFonts w:ascii="Palatino Linotype" w:hAnsi="Palatino Linotype" w:cs="Arial"/>
          <w:sz w:val="24"/>
          <w:szCs w:val="24"/>
        </w:rPr>
        <w:t>de dos mil dieciocho</w:t>
      </w:r>
      <w:r w:rsidRPr="00072966">
        <w:rPr>
          <w:rFonts w:ascii="Palatino Linotype" w:hAnsi="Palatino Linotype" w:cs="Arial"/>
          <w:sz w:val="24"/>
          <w:szCs w:val="24"/>
        </w:rPr>
        <w:t>, en el recurso</w:t>
      </w:r>
      <w:r w:rsidR="002C1F75" w:rsidRPr="00072966">
        <w:rPr>
          <w:rFonts w:ascii="Palatino Linotype" w:hAnsi="Palatino Linotype" w:cs="Arial"/>
          <w:sz w:val="24"/>
          <w:szCs w:val="24"/>
        </w:rPr>
        <w:t xml:space="preserve"> de revisión promovido</w:t>
      </w:r>
      <w:r w:rsidRPr="00072966">
        <w:rPr>
          <w:rFonts w:ascii="Palatino Linotype" w:hAnsi="Palatino Linotype" w:cs="Arial"/>
          <w:sz w:val="24"/>
          <w:szCs w:val="24"/>
        </w:rPr>
        <w:t xml:space="preserve"> por</w:t>
      </w:r>
      <w:r w:rsidRPr="00072966">
        <w:rPr>
          <w:rFonts w:ascii="Palatino Linotype" w:hAnsi="Palatino Linotype" w:cs="Arial"/>
          <w:b/>
          <w:sz w:val="24"/>
          <w:szCs w:val="24"/>
        </w:rPr>
        <w:t xml:space="preserve"> </w:t>
      </w:r>
      <w:r w:rsidR="00611BE3" w:rsidRPr="00611BE3">
        <w:rPr>
          <w:rFonts w:ascii="Palatino Linotype" w:hAnsi="Palatino Linotype" w:cs="Arial"/>
          <w:b/>
          <w:highlight w:val="black"/>
        </w:rPr>
        <w:t>----------------------------------------------------</w:t>
      </w:r>
      <w:r w:rsidRPr="00072966">
        <w:rPr>
          <w:rFonts w:ascii="Palatino Linotype" w:hAnsi="Palatino Linotype" w:cs="Arial"/>
          <w:sz w:val="24"/>
          <w:szCs w:val="24"/>
        </w:rPr>
        <w:t>,</w:t>
      </w:r>
      <w:r w:rsidRPr="00072966">
        <w:rPr>
          <w:rFonts w:ascii="Palatino Linotype" w:hAnsi="Palatino Linotype" w:cs="Arial"/>
          <w:b/>
          <w:sz w:val="24"/>
          <w:szCs w:val="24"/>
        </w:rPr>
        <w:t xml:space="preserve"> </w:t>
      </w:r>
      <w:r w:rsidRPr="00072966">
        <w:rPr>
          <w:rFonts w:ascii="Palatino Linotype" w:hAnsi="Palatino Linotype" w:cs="Arial"/>
          <w:sz w:val="24"/>
          <w:szCs w:val="24"/>
        </w:rPr>
        <w:t xml:space="preserve">en contra de la respuesta del </w:t>
      </w:r>
      <w:r w:rsidR="001C545F">
        <w:rPr>
          <w:rFonts w:ascii="Palatino Linotype" w:hAnsi="Palatino Linotype"/>
          <w:b/>
          <w:lang w:val="es-ES_tradnl"/>
        </w:rPr>
        <w:t xml:space="preserve">Ayuntamiento de </w:t>
      </w:r>
      <w:r w:rsidR="00C872FA">
        <w:rPr>
          <w:rFonts w:ascii="Palatino Linotype" w:hAnsi="Palatino Linotype"/>
          <w:b/>
          <w:lang w:val="es-ES_tradnl"/>
        </w:rPr>
        <w:t>Villa Guerrero</w:t>
      </w:r>
      <w:r w:rsidRPr="00072966">
        <w:rPr>
          <w:rFonts w:ascii="Palatino Linotype" w:hAnsi="Palatino Linotype" w:cs="Arial"/>
          <w:sz w:val="24"/>
          <w:szCs w:val="24"/>
        </w:rPr>
        <w:t>, procedimiento a</w:t>
      </w:r>
      <w:r w:rsidR="0000525F" w:rsidRPr="00072966">
        <w:rPr>
          <w:rFonts w:ascii="Palatino Linotype" w:hAnsi="Palatino Linotype" w:cs="Arial"/>
          <w:sz w:val="24"/>
          <w:szCs w:val="24"/>
        </w:rPr>
        <w:t>l</w:t>
      </w:r>
      <w:r w:rsidR="00902248" w:rsidRPr="00072966">
        <w:rPr>
          <w:rFonts w:ascii="Palatino Linotype" w:hAnsi="Palatino Linotype" w:cs="Arial"/>
          <w:sz w:val="24"/>
          <w:szCs w:val="24"/>
        </w:rPr>
        <w:t xml:space="preserve"> que se le asignó </w:t>
      </w:r>
      <w:r w:rsidR="0000525F" w:rsidRPr="00072966">
        <w:rPr>
          <w:rFonts w:ascii="Palatino Linotype" w:hAnsi="Palatino Linotype" w:cs="Arial"/>
          <w:sz w:val="24"/>
          <w:szCs w:val="24"/>
        </w:rPr>
        <w:t>el</w:t>
      </w:r>
      <w:r w:rsidRPr="00072966">
        <w:rPr>
          <w:rFonts w:ascii="Palatino Linotype" w:hAnsi="Palatino Linotype" w:cs="Arial"/>
          <w:sz w:val="24"/>
          <w:szCs w:val="24"/>
        </w:rPr>
        <w:t xml:space="preserve"> número de expediente </w:t>
      </w:r>
      <w:r w:rsidR="0076241F" w:rsidRPr="00072966">
        <w:rPr>
          <w:rFonts w:ascii="Palatino Linotype" w:eastAsia="Times New Roman" w:hAnsi="Palatino Linotype" w:cs="Arial"/>
          <w:b/>
          <w:bCs/>
          <w:sz w:val="24"/>
          <w:szCs w:val="24"/>
          <w:lang w:eastAsia="es-ES"/>
        </w:rPr>
        <w:t>0</w:t>
      </w:r>
      <w:r w:rsidR="00C872FA">
        <w:rPr>
          <w:rFonts w:ascii="Palatino Linotype" w:eastAsia="Times New Roman" w:hAnsi="Palatino Linotype" w:cs="Arial"/>
          <w:b/>
          <w:bCs/>
          <w:sz w:val="24"/>
          <w:szCs w:val="24"/>
          <w:lang w:eastAsia="es-ES"/>
        </w:rPr>
        <w:t>3906</w:t>
      </w:r>
      <w:r w:rsidR="00C7250F" w:rsidRPr="00072966">
        <w:rPr>
          <w:rFonts w:ascii="Palatino Linotype" w:eastAsia="Times New Roman" w:hAnsi="Palatino Linotype" w:cs="Arial"/>
          <w:b/>
          <w:bCs/>
          <w:sz w:val="24"/>
          <w:szCs w:val="24"/>
          <w:lang w:eastAsia="es-ES"/>
        </w:rPr>
        <w:t>/INFOEM/I</w:t>
      </w:r>
      <w:bookmarkStart w:id="1" w:name="_GoBack"/>
      <w:bookmarkEnd w:id="1"/>
      <w:r w:rsidR="00C7250F" w:rsidRPr="00072966">
        <w:rPr>
          <w:rFonts w:ascii="Palatino Linotype" w:eastAsia="Times New Roman" w:hAnsi="Palatino Linotype" w:cs="Arial"/>
          <w:b/>
          <w:bCs/>
          <w:sz w:val="24"/>
          <w:szCs w:val="24"/>
          <w:lang w:eastAsia="es-ES"/>
        </w:rPr>
        <w:t>P/RR/2018</w:t>
      </w:r>
      <w:r w:rsidR="0000525F" w:rsidRPr="00072966">
        <w:rPr>
          <w:rFonts w:ascii="Palatino Linotype" w:eastAsia="Times New Roman" w:hAnsi="Palatino Linotype" w:cs="Arial"/>
          <w:b/>
          <w:bCs/>
          <w:sz w:val="24"/>
          <w:szCs w:val="24"/>
          <w:lang w:eastAsia="es-ES"/>
        </w:rPr>
        <w:t>.</w:t>
      </w:r>
    </w:p>
    <w:p w:rsidR="001C545F" w:rsidRDefault="00C7250F" w:rsidP="001C545F">
      <w:pPr>
        <w:pStyle w:val="Prrafodelista"/>
        <w:numPr>
          <w:ilvl w:val="0"/>
          <w:numId w:val="1"/>
        </w:numPr>
        <w:spacing w:before="240" w:after="240" w:line="360" w:lineRule="auto"/>
        <w:ind w:right="49"/>
        <w:jc w:val="both"/>
        <w:rPr>
          <w:rFonts w:ascii="Palatino Linotype" w:hAnsi="Palatino Linotype" w:cs="Arial"/>
          <w:sz w:val="24"/>
          <w:szCs w:val="24"/>
        </w:rPr>
      </w:pPr>
      <w:r w:rsidRPr="00072966">
        <w:rPr>
          <w:rFonts w:ascii="Palatino Linotype" w:hAnsi="Palatino Linotype" w:cs="Arial"/>
          <w:sz w:val="24"/>
          <w:szCs w:val="24"/>
        </w:rPr>
        <w:lastRenderedPageBreak/>
        <w:t xml:space="preserve">El sentido de la Resolución puntualmente determina </w:t>
      </w:r>
      <w:r w:rsidR="00C872FA">
        <w:rPr>
          <w:rFonts w:ascii="Palatino Linotype" w:hAnsi="Palatino Linotype" w:cs="Arial"/>
          <w:sz w:val="24"/>
          <w:szCs w:val="24"/>
        </w:rPr>
        <w:t>MODIFICAR la respuesta del Sujeto Obligado y ORDENAR la entrega de las versiones estenográficas de las Sesiones de Cabildo del año 2016. Y de no contar con la información deberá declarar formalmente la inexistencia de la información por medio del Comité de Transparencia.</w:t>
      </w:r>
    </w:p>
    <w:p w:rsidR="00702BD9" w:rsidRPr="00702BD9" w:rsidRDefault="00702BD9" w:rsidP="00702BD9">
      <w:pPr>
        <w:pStyle w:val="Prrafodelista"/>
        <w:rPr>
          <w:rFonts w:ascii="Palatino Linotype" w:hAnsi="Palatino Linotype" w:cs="Arial"/>
          <w:sz w:val="24"/>
          <w:szCs w:val="24"/>
        </w:rPr>
      </w:pPr>
    </w:p>
    <w:p w:rsidR="0046491C" w:rsidRPr="00072966" w:rsidRDefault="0046491C" w:rsidP="00E34F08">
      <w:pPr>
        <w:pStyle w:val="Prrafodelista"/>
        <w:numPr>
          <w:ilvl w:val="0"/>
          <w:numId w:val="1"/>
        </w:numPr>
        <w:spacing w:line="360" w:lineRule="auto"/>
        <w:jc w:val="both"/>
        <w:rPr>
          <w:rFonts w:ascii="Palatino Linotype" w:hAnsi="Palatino Linotype" w:cs="Arial"/>
          <w:sz w:val="24"/>
          <w:szCs w:val="24"/>
        </w:rPr>
      </w:pPr>
      <w:r w:rsidRPr="00072966">
        <w:rPr>
          <w:rFonts w:ascii="Palatino Linotype" w:hAnsi="Palatino Linotype" w:cs="Arial"/>
          <w:sz w:val="24"/>
          <w:szCs w:val="24"/>
        </w:rPr>
        <w:t xml:space="preserve">Por tal motivo y en términos de lo señalado por los artículos </w:t>
      </w:r>
      <w:r w:rsidR="00AA49F3" w:rsidRPr="00072966">
        <w:rPr>
          <w:rFonts w:ascii="Palatino Linotype" w:hAnsi="Palatino Linotype" w:cs="Arial"/>
          <w:sz w:val="24"/>
          <w:szCs w:val="24"/>
        </w:rPr>
        <w:t>14</w:t>
      </w:r>
      <w:r w:rsidRPr="00072966">
        <w:rPr>
          <w:rFonts w:ascii="Palatino Linotype" w:hAnsi="Palatino Linotype" w:cs="Arial"/>
          <w:sz w:val="24"/>
          <w:szCs w:val="24"/>
        </w:rPr>
        <w:t xml:space="preserve"> fracción </w:t>
      </w:r>
      <w:r w:rsidR="00AA49F3" w:rsidRPr="00072966">
        <w:rPr>
          <w:rFonts w:ascii="Palatino Linotype" w:hAnsi="Palatino Linotype" w:cs="Arial"/>
          <w:sz w:val="24"/>
          <w:szCs w:val="24"/>
        </w:rPr>
        <w:t>XI</w:t>
      </w:r>
      <w:r w:rsidRPr="00072966">
        <w:rPr>
          <w:rFonts w:ascii="Palatino Linotype" w:hAnsi="Palatino Linotype" w:cs="Arial"/>
          <w:sz w:val="24"/>
          <w:szCs w:val="24"/>
        </w:rPr>
        <w:t xml:space="preserve"> del Reglamento Interior del Instituto de Transparencia y Acceso a la Información Pública del Estado de México y Municipios formulo el presente voto particular. </w:t>
      </w:r>
    </w:p>
    <w:p w:rsidR="0001046D" w:rsidRPr="00072966" w:rsidRDefault="0001046D" w:rsidP="00E34F08">
      <w:pPr>
        <w:pStyle w:val="Prrafodelista"/>
        <w:rPr>
          <w:rFonts w:ascii="Palatino Linotype" w:hAnsi="Palatino Linotype" w:cs="Arial"/>
          <w:sz w:val="24"/>
          <w:szCs w:val="24"/>
        </w:rPr>
      </w:pPr>
    </w:p>
    <w:p w:rsidR="0046491C" w:rsidRPr="00072966" w:rsidRDefault="0046491C" w:rsidP="00E34F08">
      <w:pPr>
        <w:pStyle w:val="Ttulo1"/>
        <w:numPr>
          <w:ilvl w:val="0"/>
          <w:numId w:val="12"/>
        </w:numPr>
        <w:spacing w:line="360" w:lineRule="auto"/>
        <w:rPr>
          <w:rFonts w:ascii="Palatino Linotype" w:hAnsi="Palatino Linotype"/>
          <w:b/>
          <w:color w:val="auto"/>
          <w:sz w:val="24"/>
          <w:szCs w:val="24"/>
        </w:rPr>
      </w:pPr>
      <w:bookmarkStart w:id="2" w:name="_Toc525572736"/>
      <w:r w:rsidRPr="00072966">
        <w:rPr>
          <w:rFonts w:ascii="Palatino Linotype" w:hAnsi="Palatino Linotype"/>
          <w:b/>
          <w:color w:val="auto"/>
          <w:sz w:val="24"/>
          <w:szCs w:val="24"/>
        </w:rPr>
        <w:t>De los requerimientos planteados en el recurso de revisión.</w:t>
      </w:r>
      <w:bookmarkEnd w:id="2"/>
    </w:p>
    <w:p w:rsidR="0046491C" w:rsidRPr="00072966" w:rsidRDefault="0046491C" w:rsidP="00E34F08">
      <w:pPr>
        <w:pStyle w:val="Prrafodelista"/>
        <w:spacing w:line="360" w:lineRule="auto"/>
        <w:ind w:left="1080"/>
        <w:jc w:val="both"/>
        <w:rPr>
          <w:rFonts w:ascii="Palatino Linotype" w:hAnsi="Palatino Linotype" w:cs="Arial"/>
          <w:sz w:val="24"/>
          <w:szCs w:val="24"/>
        </w:rPr>
      </w:pPr>
    </w:p>
    <w:p w:rsidR="009D2892" w:rsidRPr="00043805" w:rsidRDefault="009D2892" w:rsidP="00817341">
      <w:pPr>
        <w:pStyle w:val="Prrafodelista"/>
        <w:numPr>
          <w:ilvl w:val="0"/>
          <w:numId w:val="1"/>
        </w:numPr>
        <w:spacing w:after="0" w:line="360" w:lineRule="auto"/>
        <w:jc w:val="both"/>
        <w:rPr>
          <w:rFonts w:ascii="Palatino Linotype" w:eastAsia="Times New Roman" w:hAnsi="Palatino Linotype" w:cs="Times New Roman"/>
          <w:i/>
          <w:szCs w:val="24"/>
          <w:lang w:val="es-ES_tradnl" w:eastAsia="es-ES"/>
        </w:rPr>
      </w:pPr>
      <w:r w:rsidRPr="00043805">
        <w:rPr>
          <w:rFonts w:ascii="Palatino Linotype" w:hAnsi="Palatino Linotype" w:cs="Arial"/>
          <w:szCs w:val="24"/>
        </w:rPr>
        <w:t>La parte recurrente</w:t>
      </w:r>
      <w:r w:rsidR="000D1743" w:rsidRPr="00043805">
        <w:rPr>
          <w:rFonts w:ascii="Palatino Linotype" w:hAnsi="Palatino Linotype" w:cs="Arial"/>
          <w:szCs w:val="24"/>
        </w:rPr>
        <w:t xml:space="preserve"> solicitó </w:t>
      </w:r>
      <w:r w:rsidRPr="00043805">
        <w:rPr>
          <w:rFonts w:ascii="Palatino Linotype" w:hAnsi="Palatino Linotype" w:cs="Arial"/>
          <w:szCs w:val="24"/>
        </w:rPr>
        <w:t>al Secretario del Ayuntamiento de Villa Guerrero los audios de cabildo del año 2016 al año 2018.</w:t>
      </w:r>
    </w:p>
    <w:p w:rsidR="009D2892" w:rsidRPr="00043805" w:rsidRDefault="009D2892" w:rsidP="009D2892">
      <w:pPr>
        <w:pStyle w:val="Prrafodelista"/>
        <w:spacing w:after="0" w:line="360" w:lineRule="auto"/>
        <w:ind w:left="360"/>
        <w:jc w:val="both"/>
        <w:rPr>
          <w:rFonts w:ascii="Palatino Linotype" w:eastAsia="Times New Roman" w:hAnsi="Palatino Linotype" w:cs="Times New Roman"/>
          <w:i/>
          <w:szCs w:val="24"/>
          <w:lang w:val="es-ES_tradnl" w:eastAsia="es-ES"/>
        </w:rPr>
      </w:pPr>
    </w:p>
    <w:p w:rsidR="009D2892" w:rsidRPr="00043805" w:rsidRDefault="009D2892" w:rsidP="009D2892">
      <w:pPr>
        <w:pStyle w:val="Prrafodelista"/>
        <w:numPr>
          <w:ilvl w:val="0"/>
          <w:numId w:val="1"/>
        </w:numPr>
        <w:tabs>
          <w:tab w:val="left" w:pos="4962"/>
        </w:tabs>
        <w:spacing w:line="360" w:lineRule="auto"/>
        <w:jc w:val="both"/>
        <w:rPr>
          <w:rFonts w:ascii="Palatino Linotype" w:eastAsia="Calibri" w:hAnsi="Palatino Linotype" w:cs="Tahoma"/>
          <w:iCs/>
          <w:szCs w:val="24"/>
          <w:lang w:val="es-ES" w:eastAsia="es-ES_tradnl"/>
        </w:rPr>
      </w:pPr>
      <w:r w:rsidRPr="00043805">
        <w:rPr>
          <w:rFonts w:ascii="Palatino Linotype" w:eastAsia="Calibri" w:hAnsi="Palatino Linotype" w:cs="Tahoma"/>
          <w:iCs/>
          <w:szCs w:val="24"/>
          <w:lang w:val="es-ES" w:eastAsia="es-ES_tradnl"/>
        </w:rPr>
        <w:t>El Sujeto Obligado en respuesta, precisó que localizó los audios de las Sesiones de Cabildo número 57 a la 136, correspondientes a los años dos mil diecisiete y dos mil dieciocho; además precisó que no fue posible contar con los audios del año dos mil dieciséis, ya que la administración 2013-2015 no hizo entrega de ningún equipo de grabación y dado a los compromisos de pago que dejó pendientes, fue imposible tener las condiciones para adquirir el equipo de grabación; por lo que proporcionaba la única información con la que contaba.</w:t>
      </w:r>
    </w:p>
    <w:p w:rsidR="009D2892" w:rsidRPr="00043805" w:rsidRDefault="009D2892" w:rsidP="009D2892">
      <w:pPr>
        <w:pStyle w:val="Prrafodelista"/>
        <w:rPr>
          <w:rFonts w:ascii="Palatino Linotype" w:eastAsia="Calibri" w:hAnsi="Palatino Linotype" w:cs="Tahoma"/>
          <w:iCs/>
          <w:szCs w:val="24"/>
          <w:lang w:val="es-ES" w:eastAsia="es-ES_tradnl"/>
        </w:rPr>
      </w:pPr>
    </w:p>
    <w:p w:rsidR="009D2892" w:rsidRPr="00043805" w:rsidRDefault="009D2892" w:rsidP="009D2892">
      <w:pPr>
        <w:pStyle w:val="Prrafodelista"/>
        <w:numPr>
          <w:ilvl w:val="0"/>
          <w:numId w:val="1"/>
        </w:numPr>
        <w:tabs>
          <w:tab w:val="left" w:pos="4962"/>
        </w:tabs>
        <w:spacing w:line="360" w:lineRule="auto"/>
        <w:jc w:val="both"/>
        <w:rPr>
          <w:rFonts w:ascii="Palatino Linotype" w:eastAsia="Calibri" w:hAnsi="Palatino Linotype" w:cs="Tahoma"/>
          <w:iCs/>
          <w:szCs w:val="24"/>
          <w:lang w:val="es-ES" w:eastAsia="es-ES_tradnl"/>
        </w:rPr>
      </w:pPr>
      <w:r w:rsidRPr="00043805">
        <w:rPr>
          <w:rFonts w:ascii="Palatino Linotype" w:eastAsia="Calibri" w:hAnsi="Palatino Linotype" w:cs="Tahoma"/>
          <w:iCs/>
          <w:szCs w:val="24"/>
          <w:lang w:val="es-ES" w:eastAsia="es-ES_tradnl"/>
        </w:rPr>
        <w:lastRenderedPageBreak/>
        <w:t xml:space="preserve">En ese orden de ideas, puso a disposición en </w:t>
      </w:r>
      <w:r w:rsidRPr="00043805">
        <w:rPr>
          <w:rFonts w:ascii="Palatino Linotype" w:eastAsia="Calibri" w:hAnsi="Palatino Linotype" w:cs="Tahoma"/>
          <w:b/>
          <w:iCs/>
          <w:szCs w:val="24"/>
          <w:lang w:val="es-ES" w:eastAsia="es-ES_tradnl"/>
        </w:rPr>
        <w:t>consulta directa</w:t>
      </w:r>
      <w:r w:rsidRPr="00043805">
        <w:rPr>
          <w:rFonts w:ascii="Palatino Linotype" w:eastAsia="Calibri" w:hAnsi="Palatino Linotype" w:cs="Tahoma"/>
          <w:iCs/>
          <w:szCs w:val="24"/>
          <w:lang w:val="es-ES" w:eastAsia="es-ES_tradnl"/>
        </w:rPr>
        <w:t xml:space="preserve">, la información del dos mil diecisiete y dieciocho, toda vez que los archivos de audio MPEG-4, rebasaban las capacidades técnicas para que sean entregadas vía el </w:t>
      </w:r>
      <w:r w:rsidRPr="00043805">
        <w:rPr>
          <w:rFonts w:ascii="Palatino Linotype" w:eastAsia="Calibri" w:hAnsi="Palatino Linotype" w:cs="Tahoma"/>
          <w:iCs/>
          <w:szCs w:val="24"/>
          <w:lang w:eastAsia="es-ES_tradnl"/>
        </w:rPr>
        <w:t xml:space="preserve">Sistema de Acceso a la Información Mexiquense (SAIMEX), al pesar 5.19 </w:t>
      </w:r>
      <w:r w:rsidRPr="00043805">
        <w:rPr>
          <w:rFonts w:ascii="Palatino Linotype" w:eastAsia="Calibri" w:hAnsi="Palatino Linotype" w:cs="Tahoma"/>
          <w:i/>
          <w:iCs/>
          <w:szCs w:val="24"/>
          <w:lang w:eastAsia="es-ES_tradnl"/>
        </w:rPr>
        <w:t>gigabytes.</w:t>
      </w:r>
    </w:p>
    <w:p w:rsidR="009D2892" w:rsidRPr="00043805" w:rsidRDefault="009D2892" w:rsidP="009D2892">
      <w:pPr>
        <w:pStyle w:val="Prrafodelista"/>
        <w:tabs>
          <w:tab w:val="left" w:pos="4962"/>
        </w:tabs>
        <w:spacing w:line="360" w:lineRule="auto"/>
        <w:ind w:left="360"/>
        <w:jc w:val="both"/>
        <w:rPr>
          <w:rFonts w:ascii="Palatino Linotype" w:eastAsia="Calibri" w:hAnsi="Palatino Linotype" w:cs="Tahoma"/>
          <w:iCs/>
          <w:szCs w:val="24"/>
          <w:lang w:val="es-ES" w:eastAsia="es-ES_tradnl"/>
        </w:rPr>
      </w:pPr>
    </w:p>
    <w:p w:rsidR="009D2892" w:rsidRPr="00043805" w:rsidRDefault="009D2892" w:rsidP="009D2892">
      <w:pPr>
        <w:pStyle w:val="Prrafodelista"/>
        <w:numPr>
          <w:ilvl w:val="0"/>
          <w:numId w:val="1"/>
        </w:numPr>
        <w:spacing w:after="0" w:line="360" w:lineRule="auto"/>
        <w:jc w:val="both"/>
        <w:rPr>
          <w:rFonts w:ascii="Palatino Linotype" w:eastAsia="Times New Roman" w:hAnsi="Palatino Linotype" w:cs="Times New Roman"/>
          <w:i/>
          <w:szCs w:val="24"/>
          <w:lang w:val="es-ES_tradnl" w:eastAsia="es-ES"/>
        </w:rPr>
      </w:pPr>
      <w:r w:rsidRPr="00043805">
        <w:rPr>
          <w:rFonts w:ascii="Palatino Linotype" w:hAnsi="Palatino Linotype" w:cs="Arial"/>
          <w:szCs w:val="24"/>
        </w:rPr>
        <w:t xml:space="preserve">La recurrente se inconformó </w:t>
      </w:r>
      <w:r w:rsidRPr="00043805">
        <w:rPr>
          <w:rFonts w:ascii="Palatino Linotype" w:eastAsia="Calibri" w:hAnsi="Palatino Linotype" w:cs="Tahoma"/>
          <w:iCs/>
          <w:szCs w:val="24"/>
          <w:lang w:val="es-ES" w:eastAsia="es-ES_tradnl"/>
        </w:rPr>
        <w:t>porque la información proporcionada estaba incompleta, ya que no era pretexto no contar con un medio para grabar las sesiones, cuando por normatividad se debe contar con las versiones estenográficas y videograbación de las sesiones de cabildo.</w:t>
      </w:r>
    </w:p>
    <w:p w:rsidR="009D2892" w:rsidRPr="00043805" w:rsidRDefault="009D2892" w:rsidP="009D2892">
      <w:pPr>
        <w:spacing w:after="0" w:line="360" w:lineRule="auto"/>
        <w:jc w:val="both"/>
        <w:rPr>
          <w:rFonts w:ascii="Palatino Linotype" w:eastAsia="Times New Roman" w:hAnsi="Palatino Linotype" w:cs="Times New Roman"/>
          <w:i/>
          <w:szCs w:val="24"/>
          <w:lang w:val="es-ES_tradnl" w:eastAsia="es-ES"/>
        </w:rPr>
      </w:pPr>
    </w:p>
    <w:p w:rsidR="0046491C" w:rsidRPr="00043805" w:rsidRDefault="0046491C" w:rsidP="00E34F08">
      <w:pPr>
        <w:pStyle w:val="Prrafodelista"/>
        <w:numPr>
          <w:ilvl w:val="0"/>
          <w:numId w:val="1"/>
        </w:numPr>
        <w:spacing w:after="0" w:line="360" w:lineRule="auto"/>
        <w:jc w:val="both"/>
        <w:rPr>
          <w:rFonts w:ascii="Palatino Linotype" w:hAnsi="Palatino Linotype" w:cs="Arial"/>
          <w:szCs w:val="24"/>
        </w:rPr>
      </w:pPr>
      <w:r w:rsidRPr="00043805">
        <w:rPr>
          <w:rFonts w:ascii="Palatino Linotype" w:hAnsi="Palatino Linotype" w:cs="Arial"/>
          <w:szCs w:val="24"/>
        </w:rPr>
        <w:t xml:space="preserve">Si bien es de destacar, </w:t>
      </w:r>
      <w:r w:rsidR="00AE4797" w:rsidRPr="00043805">
        <w:rPr>
          <w:rFonts w:ascii="Palatino Linotype" w:hAnsi="Palatino Linotype" w:cs="Arial"/>
          <w:szCs w:val="24"/>
        </w:rPr>
        <w:t>que el Sujeto Obligado atiende la solicitud</w:t>
      </w:r>
      <w:r w:rsidR="00643C7E" w:rsidRPr="00043805">
        <w:rPr>
          <w:rFonts w:ascii="Palatino Linotype" w:hAnsi="Palatino Linotype" w:cs="Arial"/>
          <w:szCs w:val="24"/>
        </w:rPr>
        <w:t xml:space="preserve">, también lo es que el recurrente no se inconformó sobre la totalidad de la respuesta, </w:t>
      </w:r>
      <w:r w:rsidR="00FC5012" w:rsidRPr="00043805">
        <w:rPr>
          <w:rFonts w:ascii="Palatino Linotype" w:hAnsi="Palatino Linotype" w:cs="Arial"/>
          <w:szCs w:val="24"/>
        </w:rPr>
        <w:t xml:space="preserve">sin embargo, </w:t>
      </w:r>
      <w:r w:rsidRPr="00043805">
        <w:rPr>
          <w:rFonts w:ascii="Palatino Linotype" w:hAnsi="Palatino Linotype" w:cs="Arial"/>
          <w:szCs w:val="24"/>
        </w:rPr>
        <w:t xml:space="preserve">en el estudio y desarrollo de dicha resolución fueron invocados los llamados </w:t>
      </w:r>
      <w:r w:rsidR="006D268B" w:rsidRPr="00043805">
        <w:rPr>
          <w:rFonts w:ascii="Palatino Linotype" w:hAnsi="Palatino Linotype" w:cs="Arial"/>
          <w:szCs w:val="24"/>
        </w:rPr>
        <w:t>“</w:t>
      </w:r>
      <w:r w:rsidRPr="00043805">
        <w:rPr>
          <w:rFonts w:ascii="Palatino Linotype" w:hAnsi="Palatino Linotype" w:cs="Arial"/>
          <w:szCs w:val="24"/>
        </w:rPr>
        <w:t>actos consentidos</w:t>
      </w:r>
      <w:r w:rsidR="006D268B" w:rsidRPr="00043805">
        <w:rPr>
          <w:rFonts w:ascii="Palatino Linotype" w:hAnsi="Palatino Linotype" w:cs="Arial"/>
          <w:szCs w:val="24"/>
        </w:rPr>
        <w:t>”</w:t>
      </w:r>
      <w:r w:rsidRPr="00043805">
        <w:rPr>
          <w:rFonts w:ascii="Palatino Linotype" w:hAnsi="Palatino Linotype" w:cs="Arial"/>
          <w:szCs w:val="24"/>
        </w:rPr>
        <w:t>, tal y como se observa en las siguientes líneas de la resolución en comento:</w:t>
      </w:r>
    </w:p>
    <w:p w:rsidR="008702E8" w:rsidRPr="008702E8" w:rsidRDefault="008702E8" w:rsidP="008702E8">
      <w:pPr>
        <w:pStyle w:val="Prrafodelista"/>
        <w:rPr>
          <w:rFonts w:ascii="Palatino Linotype" w:hAnsi="Palatino Linotype" w:cs="Arial"/>
          <w:sz w:val="24"/>
          <w:szCs w:val="24"/>
        </w:rPr>
      </w:pPr>
    </w:p>
    <w:p w:rsidR="009D2892" w:rsidRPr="009D2892" w:rsidRDefault="0069498B" w:rsidP="009D2892">
      <w:pPr>
        <w:tabs>
          <w:tab w:val="left" w:pos="4962"/>
        </w:tabs>
        <w:spacing w:line="360" w:lineRule="auto"/>
        <w:ind w:left="567" w:right="616"/>
        <w:jc w:val="both"/>
        <w:rPr>
          <w:rFonts w:ascii="Palatino Linotype" w:eastAsia="Calibri" w:hAnsi="Palatino Linotype" w:cs="Tahoma"/>
          <w:i/>
          <w:iCs/>
          <w:lang w:eastAsia="es-ES_tradnl"/>
        </w:rPr>
      </w:pPr>
      <w:r w:rsidRPr="009D2892">
        <w:rPr>
          <w:rFonts w:ascii="Palatino Linotype" w:hAnsi="Palatino Linotype" w:cs="Arial"/>
          <w:i/>
        </w:rPr>
        <w:t>“</w:t>
      </w:r>
      <w:r w:rsidR="009D2892" w:rsidRPr="009D2892">
        <w:rPr>
          <w:rFonts w:ascii="Palatino Linotype" w:eastAsia="Calibri" w:hAnsi="Palatino Linotype" w:cs="Tahoma"/>
          <w:i/>
          <w:iCs/>
          <w:lang w:val="es-ES" w:eastAsia="es-ES_tradnl"/>
        </w:rPr>
        <w:t xml:space="preserve">Por lo que respecta, a la puesta a disposición en Consulta Directa, de los audios de las sesiones cincuenta y siete a ciento treinta y seis, concernientes al año dos mil diecisiete y parte del dos mil dieciocho, no se hará pronunciamiento alguno de conformidad con el artículo 195 </w:t>
      </w:r>
      <w:r w:rsidR="009D2892" w:rsidRPr="009D2892">
        <w:rPr>
          <w:rFonts w:ascii="Palatino Linotype" w:eastAsia="Calibri" w:hAnsi="Palatino Linotype" w:cs="Tahoma"/>
          <w:i/>
          <w:iCs/>
          <w:lang w:eastAsia="es-ES_tradnl"/>
        </w:rPr>
        <w:t xml:space="preserve">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009D2892" w:rsidRPr="009D2892">
        <w:rPr>
          <w:rFonts w:ascii="Palatino Linotype" w:eastAsia="Calibri" w:hAnsi="Palatino Linotype" w:cs="Tahoma"/>
          <w:b/>
          <w:i/>
          <w:iCs/>
          <w:lang w:eastAsia="es-ES_tradnl"/>
        </w:rPr>
        <w:t>los actos que se hayan consentido tácitamente,</w:t>
      </w:r>
      <w:r w:rsidR="009D2892" w:rsidRPr="009D2892">
        <w:rPr>
          <w:rFonts w:ascii="Palatino Linotype" w:eastAsia="Calibri" w:hAnsi="Palatino Linotype" w:cs="Tahoma"/>
          <w:i/>
          <w:iCs/>
          <w:lang w:eastAsia="es-ES_tradnl"/>
        </w:rPr>
        <w:t xml:space="preserve"> entendiéndose por estos cuando el recurso no se haya promovido en el plazo señalado para el efecto.</w:t>
      </w:r>
    </w:p>
    <w:p w:rsidR="009D2892" w:rsidRPr="009D2892" w:rsidRDefault="009D2892" w:rsidP="009D2892">
      <w:pPr>
        <w:spacing w:line="360" w:lineRule="auto"/>
        <w:ind w:left="567" w:right="616"/>
        <w:jc w:val="both"/>
        <w:rPr>
          <w:rFonts w:ascii="Palatino Linotype" w:hAnsi="Palatino Linotype" w:cs="Tahoma"/>
          <w:i/>
        </w:rPr>
      </w:pPr>
      <w:r w:rsidRPr="009D2892">
        <w:rPr>
          <w:rFonts w:ascii="Palatino Linotype" w:hAnsi="Palatino Linotype" w:cs="Tahoma"/>
          <w:i/>
        </w:rPr>
        <w:lastRenderedPageBreak/>
        <w:t>De la misma manera resulta aplicable el criterio sostenido por el Poder Judicial de la Federación de rubro </w:t>
      </w:r>
      <w:r w:rsidRPr="009D2892">
        <w:rPr>
          <w:rFonts w:ascii="Palatino Linotype" w:hAnsi="Palatino Linotype" w:cs="Tahoma"/>
          <w:b/>
          <w:i/>
        </w:rPr>
        <w:t>ACTOS CONSENTIDOS TÁCITAMENTE</w:t>
      </w:r>
      <w:r w:rsidRPr="009D2892">
        <w:rPr>
          <w:rFonts w:ascii="Palatino Linotype" w:hAnsi="Palatino Linotype" w:cs="Tahoma"/>
          <w:i/>
        </w:rPr>
        <w:t>,</w:t>
      </w:r>
      <w:bookmarkStart w:id="3" w:name="m_1691910221459291997__ftnref1"/>
      <w:r w:rsidRPr="009D2892">
        <w:rPr>
          <w:rFonts w:ascii="Palatino Linotype" w:hAnsi="Palatino Linotype" w:cs="Tahoma"/>
          <w:i/>
        </w:rPr>
        <w:t xml:space="preserve"> Tesis VI.2o. J/21, emitida en la novena época, por el Segundo Tribunal Colegiado del Sexto Circuito, publicada en la Gaceta del Semanario Judicial de la Federación en agosto de 1995, página 291, número de registro 204707, </w:t>
      </w:r>
      <w:bookmarkEnd w:id="3"/>
      <w:r w:rsidRPr="009D2892">
        <w:rPr>
          <w:rFonts w:ascii="Palatino Linotype" w:hAnsi="Palatino Linotype" w:cs="Tahoma"/>
          <w:i/>
        </w:rPr>
        <w:t>del que se desprende que cuando no se reclaman los actos de autoridad en la vía y plazos establecidos en la Ley, se presume que la particular está conforme con los mismos.</w:t>
      </w:r>
    </w:p>
    <w:p w:rsidR="0069498B" w:rsidRDefault="009D2892" w:rsidP="009D2892">
      <w:pPr>
        <w:spacing w:line="360" w:lineRule="auto"/>
        <w:ind w:left="567" w:right="616"/>
        <w:jc w:val="both"/>
        <w:rPr>
          <w:rFonts w:ascii="Palatino Linotype" w:hAnsi="Palatino Linotype" w:cs="Arial"/>
          <w:i/>
          <w:szCs w:val="28"/>
        </w:rPr>
      </w:pPr>
      <w:r w:rsidRPr="009D2892">
        <w:rPr>
          <w:rFonts w:ascii="Palatino Linotype" w:hAnsi="Palatino Linotype" w:cs="Tahoma"/>
          <w:i/>
        </w:rPr>
        <w:t>De acuerdo con el criterio en comento, en el caso de que la Solicitante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w:t>
      </w:r>
      <w:r w:rsidRPr="009D2892">
        <w:rPr>
          <w:rFonts w:ascii="Palatino Linotype" w:hAnsi="Palatino Linotype" w:cs="Tahoma"/>
          <w:b/>
          <w:i/>
        </w:rPr>
        <w:t xml:space="preserve"> quedaron firmes.</w:t>
      </w:r>
      <w:r w:rsidR="00B951FF" w:rsidRPr="009D2892">
        <w:rPr>
          <w:rFonts w:ascii="Palatino Linotype" w:hAnsi="Palatino Linotype" w:cs="Arial"/>
          <w:i/>
          <w:szCs w:val="28"/>
        </w:rPr>
        <w:t>”.</w:t>
      </w:r>
    </w:p>
    <w:p w:rsidR="008460C4" w:rsidRPr="00043805" w:rsidRDefault="008460C4" w:rsidP="00E34F08">
      <w:pPr>
        <w:pStyle w:val="Prrafodelista"/>
        <w:numPr>
          <w:ilvl w:val="0"/>
          <w:numId w:val="1"/>
        </w:numPr>
        <w:spacing w:before="240" w:after="240" w:line="360" w:lineRule="auto"/>
        <w:ind w:right="49"/>
        <w:jc w:val="both"/>
        <w:rPr>
          <w:rFonts w:ascii="Palatino Linotype" w:hAnsi="Palatino Linotype" w:cs="Arial"/>
          <w:szCs w:val="24"/>
        </w:rPr>
      </w:pPr>
      <w:r w:rsidRPr="00043805">
        <w:rPr>
          <w:rFonts w:ascii="Palatino Linotype" w:hAnsi="Palatino Linotype" w:cs="Arial"/>
          <w:szCs w:val="24"/>
        </w:rPr>
        <w:t>He de manifestar que han sido varias las ocasiones en las que formulo votos particulares</w:t>
      </w:r>
      <w:r w:rsidR="00346358" w:rsidRPr="00043805">
        <w:rPr>
          <w:rFonts w:ascii="Palatino Linotype" w:hAnsi="Palatino Linotype" w:cs="Arial"/>
          <w:szCs w:val="24"/>
        </w:rPr>
        <w:t>,</w:t>
      </w:r>
      <w:r w:rsidRPr="00043805">
        <w:rPr>
          <w:rFonts w:ascii="Palatino Linotype" w:hAnsi="Palatino Linotype" w:cs="Arial"/>
          <w:szCs w:val="24"/>
        </w:rPr>
        <w:t xml:space="preserve"> porque en el estudio de los proyectos de resolución mencionan los llamados </w:t>
      </w:r>
      <w:r w:rsidRPr="00043805">
        <w:rPr>
          <w:rFonts w:ascii="Palatino Linotype" w:hAnsi="Palatino Linotype" w:cs="Arial"/>
          <w:b/>
          <w:i/>
          <w:szCs w:val="24"/>
        </w:rPr>
        <w:t xml:space="preserve">“actos consentidos”, </w:t>
      </w:r>
      <w:r w:rsidRPr="00043805">
        <w:rPr>
          <w:rFonts w:ascii="Palatino Linotype" w:hAnsi="Palatino Linotype" w:cs="Arial"/>
          <w:szCs w:val="24"/>
        </w:rPr>
        <w:t>sin embargo, en este caso en particular, difiero con mayor fuerza toda vez que lo que el Comisionado Ponente y mis demás compañeros Comisionados que integran el Pleno de este Órgano Garante</w:t>
      </w:r>
      <w:r w:rsidR="00346358" w:rsidRPr="00043805">
        <w:rPr>
          <w:rFonts w:ascii="Palatino Linotype" w:hAnsi="Palatino Linotype" w:cs="Arial"/>
          <w:szCs w:val="24"/>
        </w:rPr>
        <w:t>, consintieron</w:t>
      </w:r>
      <w:r w:rsidRPr="00043805">
        <w:rPr>
          <w:rFonts w:ascii="Palatino Linotype" w:hAnsi="Palatino Linotype" w:cs="Arial"/>
          <w:szCs w:val="24"/>
        </w:rPr>
        <w:t xml:space="preserve"> el cambio de modalidad para la entrega de las versiones estenográficas de las sesiones de cabildo del Sujeto Obligado del periodo comprendido del año 2017 y 2018</w:t>
      </w:r>
      <w:r w:rsidR="00937AD9" w:rsidRPr="00043805">
        <w:rPr>
          <w:rFonts w:ascii="Palatino Linotype" w:hAnsi="Palatino Linotype" w:cs="Arial"/>
          <w:szCs w:val="24"/>
        </w:rPr>
        <w:t>, sin estudiar, analizar o bien, justificar el cambio de modalidad, situación que pudiera causar un perjuicio al particular en razón de que a falta de justificación, se traduce que se le restringió el acceso a ésta información por la vía solicitada porque no se inconformó por ello.</w:t>
      </w:r>
    </w:p>
    <w:p w:rsidR="00BF2070" w:rsidRPr="00043805" w:rsidRDefault="00BF2070" w:rsidP="00BF2070">
      <w:pPr>
        <w:pStyle w:val="Prrafodelista"/>
        <w:spacing w:before="240" w:after="240" w:line="360" w:lineRule="auto"/>
        <w:ind w:left="360" w:right="49"/>
        <w:jc w:val="both"/>
        <w:rPr>
          <w:rFonts w:ascii="Palatino Linotype" w:hAnsi="Palatino Linotype" w:cs="Arial"/>
          <w:szCs w:val="24"/>
        </w:rPr>
      </w:pPr>
    </w:p>
    <w:p w:rsidR="0046491C" w:rsidRPr="00043805" w:rsidRDefault="0046491C" w:rsidP="00E34F08">
      <w:pPr>
        <w:pStyle w:val="Prrafodelista"/>
        <w:numPr>
          <w:ilvl w:val="0"/>
          <w:numId w:val="1"/>
        </w:numPr>
        <w:spacing w:before="240" w:after="240" w:line="360" w:lineRule="auto"/>
        <w:ind w:right="49"/>
        <w:jc w:val="both"/>
        <w:rPr>
          <w:rFonts w:ascii="Palatino Linotype" w:hAnsi="Palatino Linotype" w:cs="Arial"/>
          <w:szCs w:val="24"/>
        </w:rPr>
      </w:pPr>
      <w:r w:rsidRPr="00043805">
        <w:rPr>
          <w:rFonts w:ascii="Palatino Linotype" w:hAnsi="Palatino Linotype" w:cs="Arial"/>
          <w:szCs w:val="24"/>
        </w:rPr>
        <w:lastRenderedPageBreak/>
        <w:t>Derivado de lo transcrito con anterioridad, considero que la</w:t>
      </w:r>
      <w:r w:rsidR="00260D6C" w:rsidRPr="00043805">
        <w:rPr>
          <w:rFonts w:ascii="Palatino Linotype" w:hAnsi="Palatino Linotype" w:cs="Arial"/>
          <w:szCs w:val="24"/>
        </w:rPr>
        <w:t xml:space="preserve"> incorporación de dicho argumento</w:t>
      </w:r>
      <w:r w:rsidRPr="00043805">
        <w:rPr>
          <w:rFonts w:ascii="Palatino Linotype" w:hAnsi="Palatino Linotype" w:cs="Arial"/>
          <w:szCs w:val="24"/>
        </w:rPr>
        <w:t xml:space="preserve"> en la resolución en comento resulta a todas luces innecesari</w:t>
      </w:r>
      <w:r w:rsidR="00E61AB8" w:rsidRPr="00043805">
        <w:rPr>
          <w:rFonts w:ascii="Palatino Linotype" w:hAnsi="Palatino Linotype" w:cs="Arial"/>
          <w:szCs w:val="24"/>
        </w:rPr>
        <w:t xml:space="preserve">o y además no da </w:t>
      </w:r>
      <w:r w:rsidRPr="00043805">
        <w:rPr>
          <w:rFonts w:ascii="Palatino Linotype" w:hAnsi="Palatino Linotype" w:cs="Arial"/>
          <w:szCs w:val="24"/>
        </w:rPr>
        <w:t>lugar a invocarlos en el derecho humano fundamental de acceder a la información pública gubernamental.</w:t>
      </w:r>
      <w:r w:rsidRPr="00043805">
        <w:rPr>
          <w:rFonts w:ascii="Palatino Linotype" w:eastAsia="Calibri" w:hAnsi="Palatino Linotype" w:cs="Times New Roman"/>
          <w:szCs w:val="24"/>
          <w:lang w:val="es-ES" w:eastAsia="es-ES"/>
        </w:rPr>
        <w:t xml:space="preserve"> Por lo que la mayoría consideró que la respuesta quedó firme ante la falta de impugnación respecto al resto de los requerimientos que no fueron manifestados en el recurso de revisión. En el presente asunto que nos ocupa, es de señalar que del análisis hecho a la resolución en comento, no se discute que el </w:t>
      </w:r>
      <w:r w:rsidRPr="00043805">
        <w:rPr>
          <w:rFonts w:ascii="Palatino Linotype" w:eastAsia="Calibri" w:hAnsi="Palatino Linotype" w:cs="Times New Roman"/>
          <w:b/>
          <w:szCs w:val="24"/>
          <w:lang w:val="es-ES" w:eastAsia="es-ES"/>
        </w:rPr>
        <w:t>SUJETO OBLIGADO</w:t>
      </w:r>
      <w:r w:rsidRPr="00043805">
        <w:rPr>
          <w:rFonts w:ascii="Palatino Linotype" w:eastAsia="Calibri" w:hAnsi="Palatino Linotype" w:cs="Times New Roman"/>
          <w:szCs w:val="24"/>
          <w:lang w:val="es-ES" w:eastAsia="es-ES"/>
        </w:rPr>
        <w:t xml:space="preserve"> ha dado respuesta a la solicitud de información</w:t>
      </w:r>
      <w:r w:rsidR="00260D6C" w:rsidRPr="00043805">
        <w:rPr>
          <w:rFonts w:ascii="Palatino Linotype" w:eastAsia="Calibri" w:hAnsi="Palatino Linotype" w:cs="Times New Roman"/>
          <w:szCs w:val="24"/>
          <w:lang w:val="es-ES" w:eastAsia="es-ES"/>
        </w:rPr>
        <w:t xml:space="preserve"> en lo particular</w:t>
      </w:r>
      <w:r w:rsidRPr="00043805">
        <w:rPr>
          <w:rFonts w:ascii="Palatino Linotype" w:eastAsia="Calibri" w:hAnsi="Palatino Linotype" w:cs="Times New Roman"/>
          <w:szCs w:val="24"/>
          <w:lang w:val="es-ES" w:eastAsia="es-ES"/>
        </w:rPr>
        <w:t>, t</w:t>
      </w:r>
      <w:r w:rsidR="00260D6C" w:rsidRPr="00043805">
        <w:rPr>
          <w:rFonts w:ascii="Palatino Linotype" w:eastAsia="Calibri" w:hAnsi="Palatino Linotype" w:cs="Times New Roman"/>
          <w:szCs w:val="24"/>
          <w:lang w:val="es-ES" w:eastAsia="es-ES"/>
        </w:rPr>
        <w:t xml:space="preserve">an es así que al analizar la respuesta emitida se concluyó que colmó con </w:t>
      </w:r>
      <w:r w:rsidRPr="00043805">
        <w:rPr>
          <w:rFonts w:ascii="Palatino Linotype" w:eastAsia="Calibri" w:hAnsi="Palatino Linotype" w:cs="Times New Roman"/>
          <w:szCs w:val="24"/>
          <w:lang w:val="es-ES" w:eastAsia="es-ES"/>
        </w:rPr>
        <w:t xml:space="preserve">el derecho de acceso a la información, </w:t>
      </w:r>
      <w:r w:rsidR="00260D6C" w:rsidRPr="00043805">
        <w:rPr>
          <w:rFonts w:ascii="Palatino Linotype" w:eastAsia="Calibri" w:hAnsi="Palatino Linotype" w:cs="Times New Roman"/>
          <w:szCs w:val="24"/>
          <w:lang w:val="es-ES" w:eastAsia="es-ES"/>
        </w:rPr>
        <w:t xml:space="preserve">lo que en mi parecer </w:t>
      </w:r>
      <w:r w:rsidRPr="00043805">
        <w:rPr>
          <w:rFonts w:ascii="Palatino Linotype" w:eastAsia="Calibri" w:hAnsi="Palatino Linotype" w:cs="Times New Roman"/>
          <w:szCs w:val="24"/>
          <w:lang w:val="es-ES" w:eastAsia="es-ES"/>
        </w:rPr>
        <w:t>considero, es innecesario señalar</w:t>
      </w:r>
      <w:r w:rsidR="00194B6A" w:rsidRPr="00043805">
        <w:rPr>
          <w:rFonts w:ascii="Palatino Linotype" w:eastAsia="Calibri" w:hAnsi="Palatino Linotype" w:cs="Times New Roman"/>
          <w:szCs w:val="24"/>
          <w:lang w:val="es-ES" w:eastAsia="es-ES"/>
        </w:rPr>
        <w:t xml:space="preserve"> la figura de actos consentidos, éste instituto como órgano garante, es su deber velar por el cabal cumplimiento al derecho humano del acceso a la información, mas no limita</w:t>
      </w:r>
      <w:r w:rsidR="0001046D" w:rsidRPr="00043805">
        <w:rPr>
          <w:rFonts w:ascii="Palatino Linotype" w:eastAsia="Calibri" w:hAnsi="Palatino Linotype" w:cs="Times New Roman"/>
          <w:szCs w:val="24"/>
          <w:lang w:val="es-ES" w:eastAsia="es-ES"/>
        </w:rPr>
        <w:t>rlo invocando el multicitado argumento de</w:t>
      </w:r>
      <w:r w:rsidR="00194B6A" w:rsidRPr="00043805">
        <w:rPr>
          <w:rFonts w:ascii="Palatino Linotype" w:eastAsia="Calibri" w:hAnsi="Palatino Linotype" w:cs="Times New Roman"/>
          <w:szCs w:val="24"/>
          <w:lang w:val="es-ES" w:eastAsia="es-ES"/>
        </w:rPr>
        <w:t xml:space="preserve"> actos consentidos.</w:t>
      </w:r>
    </w:p>
    <w:p w:rsidR="0046491C" w:rsidRDefault="0046491C" w:rsidP="00E34F08">
      <w:pPr>
        <w:pStyle w:val="Ttulo1"/>
        <w:numPr>
          <w:ilvl w:val="0"/>
          <w:numId w:val="12"/>
        </w:numPr>
        <w:spacing w:line="360" w:lineRule="auto"/>
        <w:rPr>
          <w:rFonts w:ascii="Palatino Linotype" w:hAnsi="Palatino Linotype"/>
          <w:b/>
          <w:color w:val="auto"/>
          <w:sz w:val="24"/>
          <w:szCs w:val="24"/>
        </w:rPr>
      </w:pPr>
      <w:bookmarkStart w:id="4" w:name="_Toc525572737"/>
      <w:r w:rsidRPr="00072966">
        <w:rPr>
          <w:rFonts w:ascii="Palatino Linotype" w:hAnsi="Palatino Linotype"/>
          <w:b/>
          <w:color w:val="auto"/>
          <w:sz w:val="24"/>
          <w:szCs w:val="24"/>
        </w:rPr>
        <w:t>Los actos consentidos no deben invocarse en el derecho fundamental de acceder a la información pública gubernamental.</w:t>
      </w:r>
      <w:bookmarkEnd w:id="4"/>
    </w:p>
    <w:p w:rsidR="00FC5012" w:rsidRPr="00FC5012" w:rsidRDefault="00FC5012" w:rsidP="00FC5012"/>
    <w:p w:rsidR="0046491C" w:rsidRPr="00072966"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72966">
        <w:rPr>
          <w:rFonts w:ascii="Palatino Linotype" w:hAnsi="Palatino Linotype" w:cs="Arial"/>
          <w:sz w:val="24"/>
          <w:szCs w:val="24"/>
        </w:rPr>
        <w:t xml:space="preserve">En la resolución se precisa, un criterio </w:t>
      </w:r>
      <w:r w:rsidR="00260D6C" w:rsidRPr="00072966">
        <w:rPr>
          <w:rFonts w:ascii="Palatino Linotype" w:hAnsi="Palatino Linotype" w:cs="Arial"/>
          <w:sz w:val="24"/>
          <w:szCs w:val="24"/>
        </w:rPr>
        <w:t>denominado</w:t>
      </w:r>
      <w:r w:rsidRPr="00072966">
        <w:rPr>
          <w:rFonts w:ascii="Palatino Linotype" w:hAnsi="Palatino Linotype" w:cs="Arial"/>
          <w:sz w:val="24"/>
          <w:szCs w:val="24"/>
        </w:rPr>
        <w:t xml:space="preserve"> actos consentidos. Al respecto estoy convencido de que la garantía constitucional que se desahoga ante esta autoridad corresponde a un procedimiento cuasi jurisdiccional que si bien reúne las formalidades básicas, que no todas, del primero, también resulta evidentemente más flexible, más laxo y pretende ser de mayor protección al derecho humano, por eso es que contamos con un sistema electrónico que asiste a la persona que realiza una solicitud o presenta un recurso de revisión, de tal </w:t>
      </w:r>
      <w:r w:rsidRPr="00072966">
        <w:rPr>
          <w:rFonts w:ascii="Palatino Linotype" w:hAnsi="Palatino Linotype" w:cs="Arial"/>
          <w:sz w:val="24"/>
          <w:szCs w:val="24"/>
        </w:rPr>
        <w:lastRenderedPageBreak/>
        <w:t xml:space="preserve">forma que se pretende que ejerza sus derechos sin verse en la necesidad de </w:t>
      </w:r>
      <w:r w:rsidRPr="00072966">
        <w:rPr>
          <w:rFonts w:ascii="Palatino Linotype" w:hAnsi="Palatino Linotype" w:cs="Arial"/>
          <w:b/>
          <w:sz w:val="24"/>
          <w:szCs w:val="24"/>
        </w:rPr>
        <w:t>acudir a un profesionista del derecho</w:t>
      </w:r>
      <w:r w:rsidRPr="00072966">
        <w:rPr>
          <w:rFonts w:ascii="Palatino Linotype" w:hAnsi="Palatino Linotype" w:cs="Arial"/>
          <w:sz w:val="24"/>
          <w:szCs w:val="24"/>
        </w:rPr>
        <w:t xml:space="preserve"> para que le asista en la elaboración de su promoción; contrario a ello, nuestro sistema pretende asistirle y facilitarle el procedimiento, esa flexibilidad se vería seriamente comprometida si este órgano garante 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46491C" w:rsidRPr="00072966" w:rsidRDefault="0046491C" w:rsidP="00E34F08">
      <w:pPr>
        <w:pStyle w:val="Prrafodelista"/>
        <w:spacing w:after="0" w:line="360" w:lineRule="auto"/>
        <w:ind w:left="426"/>
        <w:jc w:val="both"/>
        <w:rPr>
          <w:rFonts w:ascii="Palatino Linotype" w:hAnsi="Palatino Linotype" w:cs="Arial"/>
          <w:sz w:val="24"/>
          <w:szCs w:val="24"/>
        </w:rPr>
      </w:pPr>
    </w:p>
    <w:p w:rsidR="0046491C" w:rsidRPr="00072966"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72966">
        <w:rPr>
          <w:rFonts w:ascii="Palatino Linotype" w:hAnsi="Palatino Linotype" w:cs="Arial"/>
          <w:sz w:val="24"/>
          <w:szCs w:val="24"/>
        </w:rPr>
        <w:t xml:space="preserve">La figura de la suplencia de la queja, para Héctor </w:t>
      </w:r>
      <w:proofErr w:type="spellStart"/>
      <w:r w:rsidRPr="00072966">
        <w:rPr>
          <w:rFonts w:ascii="Palatino Linotype" w:hAnsi="Palatino Linotype" w:cs="Arial"/>
          <w:sz w:val="24"/>
          <w:szCs w:val="24"/>
        </w:rPr>
        <w:t>Fix</w:t>
      </w:r>
      <w:proofErr w:type="spellEnd"/>
      <w:r w:rsidRPr="00072966">
        <w:rPr>
          <w:rFonts w:ascii="Palatino Linotype" w:hAnsi="Palatino Linotype" w:cs="Arial"/>
          <w:sz w:val="24"/>
          <w:szCs w:val="24"/>
        </w:rPr>
        <w:t xml:space="preserve"> Zamudio  “…puede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072966">
        <w:rPr>
          <w:rStyle w:val="Refdenotaalpie"/>
          <w:rFonts w:ascii="Palatino Linotype" w:hAnsi="Palatino Linotype" w:cs="Arial"/>
        </w:rPr>
        <w:footnoteReference w:id="1"/>
      </w:r>
      <w:r w:rsidRPr="00072966">
        <w:rPr>
          <w:rFonts w:ascii="Palatino Linotype" w:hAnsi="Palatino Linotype" w:cs="Arial"/>
          <w:sz w:val="24"/>
          <w:szCs w:val="24"/>
        </w:rPr>
        <w:t xml:space="preserve"> Según este mismo autor, “…es siempre obligatoria… respecto de los errores o defectos de los conceptos de violación expresados en la </w:t>
      </w:r>
      <w:r w:rsidRPr="00072966">
        <w:rPr>
          <w:rFonts w:ascii="Palatino Linotype" w:hAnsi="Palatino Linotype" w:cs="Arial"/>
          <w:sz w:val="24"/>
          <w:szCs w:val="24"/>
        </w:rPr>
        <w:lastRenderedPageBreak/>
        <w:t>demanda, así como los de los agravios formulados en los recursos que el mismo ordenamiento establece”.</w:t>
      </w:r>
      <w:r w:rsidRPr="00072966">
        <w:rPr>
          <w:rStyle w:val="Refdenotaalpie"/>
          <w:rFonts w:ascii="Palatino Linotype" w:hAnsi="Palatino Linotype" w:cs="Arial"/>
        </w:rPr>
        <w:footnoteReference w:id="2"/>
      </w:r>
      <w:r w:rsidRPr="00072966">
        <w:rPr>
          <w:rFonts w:ascii="Palatino Linotype" w:hAnsi="Palatino Linotype" w:cs="Arial"/>
          <w:sz w:val="24"/>
          <w:szCs w:val="24"/>
        </w:rPr>
        <w:t xml:space="preserve"> </w:t>
      </w:r>
    </w:p>
    <w:p w:rsidR="0046491C" w:rsidRPr="00072966" w:rsidRDefault="0046491C" w:rsidP="00E34F08">
      <w:pPr>
        <w:pStyle w:val="Prrafodelista"/>
        <w:spacing w:line="360" w:lineRule="auto"/>
        <w:jc w:val="both"/>
        <w:rPr>
          <w:rFonts w:ascii="Palatino Linotype" w:hAnsi="Palatino Linotype" w:cs="Arial"/>
          <w:sz w:val="24"/>
          <w:szCs w:val="24"/>
        </w:rPr>
      </w:pPr>
    </w:p>
    <w:p w:rsidR="0046491C" w:rsidRPr="00072966"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72966">
        <w:rPr>
          <w:rFonts w:ascii="Palatino Linotype" w:hAnsi="Palatino Linotype" w:cs="Arial"/>
          <w:sz w:val="24"/>
          <w:szCs w:val="24"/>
        </w:rPr>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46491C" w:rsidRPr="00072966" w:rsidRDefault="0046491C" w:rsidP="00E34F08">
      <w:pPr>
        <w:spacing w:after="0" w:line="360" w:lineRule="auto"/>
        <w:jc w:val="both"/>
        <w:rPr>
          <w:rFonts w:ascii="Palatino Linotype" w:hAnsi="Palatino Linotype" w:cs="Arial"/>
          <w:sz w:val="24"/>
          <w:szCs w:val="24"/>
        </w:rPr>
      </w:pPr>
    </w:p>
    <w:p w:rsidR="0046491C" w:rsidRPr="00072966"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72966">
        <w:rPr>
          <w:rFonts w:ascii="Palatino Linotype" w:hAnsi="Palatino Linotype" w:cs="Arial"/>
          <w:sz w:val="24"/>
          <w:szCs w:val="24"/>
        </w:rPr>
        <w:t xml:space="preserve"> 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072966">
        <w:rPr>
          <w:rFonts w:ascii="Palatino Linotype" w:hAnsi="Palatino Linotype" w:cs="Arial"/>
          <w:b/>
          <w:sz w:val="24"/>
          <w:szCs w:val="24"/>
        </w:rPr>
        <w:t>garantía de los derechos humanos</w:t>
      </w:r>
      <w:r w:rsidRPr="00072966">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46491C" w:rsidRPr="00072966" w:rsidRDefault="0046491C" w:rsidP="00E34F08">
      <w:pPr>
        <w:spacing w:after="0" w:line="360" w:lineRule="auto"/>
        <w:jc w:val="both"/>
        <w:rPr>
          <w:rFonts w:ascii="Palatino Linotype" w:hAnsi="Palatino Linotype" w:cs="Arial"/>
          <w:sz w:val="24"/>
          <w:szCs w:val="24"/>
        </w:rPr>
      </w:pPr>
    </w:p>
    <w:p w:rsidR="0046491C" w:rsidRPr="00072966"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72966">
        <w:rPr>
          <w:rFonts w:ascii="Palatino Linotype" w:hAnsi="Palatino Linotype" w:cs="Arial"/>
          <w:sz w:val="24"/>
          <w:szCs w:val="24"/>
        </w:rPr>
        <w:lastRenderedPageBreak/>
        <w:t>En este sentido el Dr. Miguel Carbonell ha señalado que:</w:t>
      </w:r>
    </w:p>
    <w:p w:rsidR="0046491C" w:rsidRPr="00072966" w:rsidRDefault="0046491C" w:rsidP="00E34F08">
      <w:pPr>
        <w:pStyle w:val="Prrafodelista"/>
        <w:spacing w:after="0" w:line="360" w:lineRule="auto"/>
        <w:ind w:left="426"/>
        <w:jc w:val="both"/>
        <w:rPr>
          <w:rFonts w:ascii="Palatino Linotype" w:hAnsi="Palatino Linotype" w:cs="Arial"/>
          <w:sz w:val="24"/>
          <w:szCs w:val="24"/>
        </w:rPr>
      </w:pPr>
    </w:p>
    <w:p w:rsidR="0046491C" w:rsidRPr="00072966" w:rsidRDefault="0046491C" w:rsidP="00E34F08">
      <w:pPr>
        <w:pStyle w:val="Prrafodelista"/>
        <w:spacing w:after="0" w:line="360" w:lineRule="auto"/>
        <w:ind w:left="426"/>
        <w:jc w:val="both"/>
        <w:rPr>
          <w:rFonts w:ascii="Palatino Linotype" w:hAnsi="Palatino Linotype" w:cs="Arial"/>
          <w:sz w:val="24"/>
          <w:szCs w:val="24"/>
        </w:rPr>
      </w:pPr>
      <w:r w:rsidRPr="00072966">
        <w:rPr>
          <w:rFonts w:ascii="Palatino Linotype" w:hAnsi="Palatino Linotype" w:cs="Arial"/>
          <w:sz w:val="24"/>
          <w:szCs w:val="24"/>
        </w:rPr>
        <w:t xml:space="preserve">“Queda claro, en consecuencia, que las obligaciones de promoción, respeto, protección y garantía de los derechos corren a cargo de todos los poderes, incluso </w:t>
      </w:r>
      <w:r w:rsidRPr="00072966">
        <w:rPr>
          <w:rFonts w:ascii="Palatino Linotype" w:hAnsi="Palatino Linotype" w:cs="Arial"/>
          <w:b/>
          <w:sz w:val="24"/>
          <w:szCs w:val="24"/>
        </w:rPr>
        <w:t>considerando que algún nivel de gobierno tenga obligaciones reforzadas hacia ciertos derechos.</w:t>
      </w:r>
      <w:r w:rsidRPr="00072966">
        <w:rPr>
          <w:rFonts w:ascii="Palatino Linotype" w:hAnsi="Palatino Linotype" w:cs="Arial"/>
          <w:sz w:val="24"/>
          <w:szCs w:val="24"/>
        </w:rPr>
        <w:t xml:space="preserve"> A partir de tales deberes generales, podemos afirmar que las autoridades de todos los niveles de gobierno también tienen la obligación positiva de </w:t>
      </w:r>
      <w:r w:rsidRPr="00072966">
        <w:rPr>
          <w:rFonts w:ascii="Palatino Linotype" w:hAnsi="Palatino Linotype" w:cs="Arial"/>
          <w:b/>
          <w:sz w:val="24"/>
          <w:szCs w:val="24"/>
        </w:rPr>
        <w:t>tomar todas las medidas que sean pertinentes para tutelar y hacer eficaz un derecho</w:t>
      </w:r>
      <w:r w:rsidRPr="00072966">
        <w:rPr>
          <w:rFonts w:ascii="Palatino Linotype" w:hAnsi="Palatino Linotype" w:cs="Arial"/>
          <w:sz w:val="24"/>
          <w:szCs w:val="24"/>
        </w:rPr>
        <w:t>”.</w:t>
      </w:r>
      <w:r w:rsidRPr="00072966">
        <w:rPr>
          <w:rStyle w:val="Refdenotaalpie"/>
          <w:rFonts w:ascii="Palatino Linotype" w:hAnsi="Palatino Linotype" w:cs="Arial"/>
        </w:rPr>
        <w:footnoteReference w:id="3"/>
      </w:r>
    </w:p>
    <w:p w:rsidR="0046491C" w:rsidRPr="00072966" w:rsidRDefault="0046491C" w:rsidP="00E34F08">
      <w:pPr>
        <w:pStyle w:val="Prrafodelista"/>
        <w:spacing w:after="0" w:line="360" w:lineRule="auto"/>
        <w:ind w:left="426"/>
        <w:jc w:val="both"/>
        <w:rPr>
          <w:rFonts w:ascii="Palatino Linotype" w:hAnsi="Palatino Linotype" w:cs="Arial"/>
          <w:sz w:val="24"/>
          <w:szCs w:val="24"/>
        </w:rPr>
      </w:pPr>
    </w:p>
    <w:p w:rsidR="0046491C" w:rsidRPr="00072966" w:rsidRDefault="0046491C" w:rsidP="00E34F08">
      <w:pPr>
        <w:pStyle w:val="Prrafodelista"/>
        <w:numPr>
          <w:ilvl w:val="0"/>
          <w:numId w:val="1"/>
        </w:numPr>
        <w:spacing w:after="0" w:line="360" w:lineRule="auto"/>
        <w:jc w:val="both"/>
        <w:rPr>
          <w:rFonts w:ascii="Palatino Linotype" w:hAnsi="Palatino Linotype" w:cs="Arial"/>
          <w:sz w:val="24"/>
          <w:szCs w:val="24"/>
        </w:rPr>
      </w:pPr>
      <w:r w:rsidRPr="00072966">
        <w:rPr>
          <w:rFonts w:ascii="Palatino Linotype" w:hAnsi="Palatino Linotype" w:cs="Arial"/>
          <w:sz w:val="24"/>
          <w:szCs w:val="24"/>
        </w:rPr>
        <w:t xml:space="preserve"> Por lo que restringir el derecho de acceso a la información pública del particular</w:t>
      </w:r>
      <w:r w:rsidRPr="00072966">
        <w:rPr>
          <w:rFonts w:ascii="Palatino Linotype" w:hAnsi="Palatino Linotype" w:cs="Arial"/>
          <w:b/>
          <w:sz w:val="24"/>
          <w:szCs w:val="24"/>
        </w:rPr>
        <w:t xml:space="preserve"> </w:t>
      </w:r>
      <w:r w:rsidRPr="00072966">
        <w:rPr>
          <w:rFonts w:ascii="Palatino Linotype" w:hAnsi="Palatino Linotype" w:cs="Arial"/>
          <w:sz w:val="24"/>
          <w:szCs w:val="24"/>
        </w:rPr>
        <w:t>suponiendo en el peor de los casos, que en efecto, no se hubiera ordenado la información solicitada por no impugnar la falta de entrega de los documentos solicitados, debilita la efectividad de esta garantía al hacerla depender de un hecho desconocido y, por lo tanto de dudosa acreditación, además que se insiste fue en todo momento innecesario señalar el argumento de actos consentidos.</w:t>
      </w:r>
    </w:p>
    <w:p w:rsidR="0046491C" w:rsidRPr="00072966" w:rsidRDefault="0046491C" w:rsidP="00E34F08">
      <w:pPr>
        <w:pStyle w:val="Prrafodelista"/>
        <w:spacing w:after="0" w:line="360" w:lineRule="auto"/>
        <w:jc w:val="both"/>
        <w:rPr>
          <w:rFonts w:ascii="Palatino Linotype" w:hAnsi="Palatino Linotype" w:cs="Arial"/>
          <w:sz w:val="24"/>
          <w:szCs w:val="24"/>
        </w:rPr>
      </w:pPr>
    </w:p>
    <w:p w:rsidR="0046491C" w:rsidRPr="00043805" w:rsidRDefault="0046491C" w:rsidP="00E34F08">
      <w:pPr>
        <w:pStyle w:val="Prrafodelista"/>
        <w:numPr>
          <w:ilvl w:val="0"/>
          <w:numId w:val="1"/>
        </w:numPr>
        <w:spacing w:after="0" w:line="360" w:lineRule="auto"/>
        <w:jc w:val="both"/>
        <w:rPr>
          <w:rFonts w:ascii="Palatino Linotype" w:hAnsi="Palatino Linotype" w:cs="Arial"/>
          <w:szCs w:val="24"/>
        </w:rPr>
      </w:pPr>
      <w:r w:rsidRPr="00072966">
        <w:rPr>
          <w:rFonts w:ascii="Palatino Linotype" w:hAnsi="Palatino Linotype" w:cs="Arial"/>
          <w:sz w:val="24"/>
          <w:szCs w:val="24"/>
        </w:rPr>
        <w:t xml:space="preserve"> </w:t>
      </w:r>
      <w:r w:rsidRPr="00043805">
        <w:rPr>
          <w:rFonts w:ascii="Palatino Linotype" w:hAnsi="Palatino Linotype" w:cs="Arial"/>
          <w:szCs w:val="24"/>
        </w:rPr>
        <w:t xml:space="preserve">Enfrentar este silencio  u omisión de los particulares a inconformarse por algún punto o requerimiento de origen solicitado, cuando es evidente que no le fue entregada la información o satisfecho el derecho de acceso a la información pública con las </w:t>
      </w:r>
      <w:r w:rsidRPr="00043805">
        <w:rPr>
          <w:rFonts w:ascii="Palatino Linotype" w:hAnsi="Palatino Linotype" w:cs="Arial"/>
          <w:szCs w:val="24"/>
        </w:rPr>
        <w:lastRenderedPageBreak/>
        <w:t>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 “La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46491C" w:rsidRPr="00072966" w:rsidRDefault="0046491C" w:rsidP="00E34F08">
      <w:pPr>
        <w:pStyle w:val="Prrafodelista"/>
        <w:spacing w:line="360" w:lineRule="auto"/>
        <w:jc w:val="both"/>
        <w:rPr>
          <w:rFonts w:ascii="Palatino Linotype" w:hAnsi="Palatino Linotype" w:cs="Arial"/>
          <w:sz w:val="24"/>
          <w:szCs w:val="24"/>
        </w:rPr>
      </w:pPr>
    </w:p>
    <w:p w:rsidR="0046491C" w:rsidRPr="00072966"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72966">
        <w:rPr>
          <w:rFonts w:ascii="Palatino Linotype" w:hAnsi="Palatino Linotype" w:cs="Arial"/>
          <w:sz w:val="24"/>
          <w:szCs w:val="24"/>
        </w:rPr>
        <w:t xml:space="preserve">Frente a esa realidad pasada, la reforma citada nos ubica completamente en nuevas condiciones bajo los criterios del Estado Constitucional de Derecho que nos debe conducir a valorar, junto con Sergio </w:t>
      </w:r>
      <w:proofErr w:type="spellStart"/>
      <w:r w:rsidRPr="00072966">
        <w:rPr>
          <w:rFonts w:ascii="Palatino Linotype" w:hAnsi="Palatino Linotype" w:cs="Arial"/>
          <w:sz w:val="24"/>
          <w:szCs w:val="24"/>
        </w:rPr>
        <w:t>Cotta</w:t>
      </w:r>
      <w:proofErr w:type="spellEnd"/>
      <w:r w:rsidRPr="00072966">
        <w:rPr>
          <w:rFonts w:ascii="Palatino Linotype" w:hAnsi="Palatino Linotype" w:cs="Arial"/>
          <w:sz w:val="24"/>
          <w:szCs w:val="24"/>
        </w:rPr>
        <w:t xml:space="preserve"> que “la obligatoriedad de la norma depende de la validez de su justificación, que es, por consiguiente el fundamento de aquella”,</w:t>
      </w:r>
      <w:r w:rsidRPr="00072966">
        <w:rPr>
          <w:rStyle w:val="Refdenotaalpie"/>
          <w:rFonts w:ascii="Palatino Linotype" w:hAnsi="Palatino Linotype" w:cs="Arial"/>
        </w:rPr>
        <w:footnoteReference w:id="4"/>
      </w:r>
      <w:r w:rsidRPr="00072966">
        <w:rPr>
          <w:rFonts w:ascii="Palatino Linotype" w:hAnsi="Palatino Linotype" w:cs="Arial"/>
          <w:sz w:val="24"/>
          <w:szCs w:val="24"/>
        </w:rPr>
        <w:t xml:space="preserve"> y no puede existir validez en la aplicación de un criterio que propicia una riesgosa afectación al derecho de acceso a la información.</w:t>
      </w:r>
    </w:p>
    <w:p w:rsidR="0046491C" w:rsidRPr="00072966" w:rsidRDefault="0046491C" w:rsidP="00E34F08">
      <w:pPr>
        <w:pStyle w:val="Prrafodelista"/>
        <w:spacing w:line="360" w:lineRule="auto"/>
        <w:jc w:val="both"/>
        <w:rPr>
          <w:rFonts w:ascii="Palatino Linotype" w:hAnsi="Palatino Linotype" w:cs="Arial"/>
          <w:sz w:val="24"/>
          <w:szCs w:val="24"/>
        </w:rPr>
      </w:pPr>
    </w:p>
    <w:p w:rsidR="0046491C" w:rsidRPr="00072966" w:rsidRDefault="0046491C" w:rsidP="00E34F08">
      <w:pPr>
        <w:pStyle w:val="Prrafodelista"/>
        <w:numPr>
          <w:ilvl w:val="0"/>
          <w:numId w:val="1"/>
        </w:numPr>
        <w:spacing w:after="0" w:line="360" w:lineRule="auto"/>
        <w:ind w:left="426"/>
        <w:jc w:val="both"/>
        <w:rPr>
          <w:rFonts w:ascii="Palatino Linotype" w:hAnsi="Palatino Linotype" w:cs="Arial"/>
          <w:szCs w:val="24"/>
        </w:rPr>
      </w:pPr>
      <w:r w:rsidRPr="00072966">
        <w:rPr>
          <w:rFonts w:ascii="Palatino Linotype" w:hAnsi="Palatino Linotype" w:cs="Arial"/>
          <w:sz w:val="24"/>
          <w:szCs w:val="24"/>
        </w:rPr>
        <w:t xml:space="preserve"> </w:t>
      </w:r>
      <w:r w:rsidRPr="00072966">
        <w:rPr>
          <w:rFonts w:ascii="Palatino Linotype" w:hAnsi="Palatino Linotype" w:cs="Arial"/>
          <w:szCs w:val="24"/>
        </w:rPr>
        <w:t xml:space="preserve">Mucho menos si consideramos el siguiente criterio: DERECHOS HUMANOS. OBLIGACIÓN DE PROTEGERLOS EN TÉRMINOS DEL ARTÍCULO 1o., PÁRRAFO TERCERO, DE LA CONSTITUCIÓN POLÍTICA DE LOS ESTADOS UNIDOS </w:t>
      </w:r>
      <w:r w:rsidRPr="00072966">
        <w:rPr>
          <w:rFonts w:ascii="Palatino Linotype" w:hAnsi="Palatino Linotype" w:cs="Arial"/>
          <w:szCs w:val="24"/>
        </w:rPr>
        <w:lastRenderedPageBreak/>
        <w:t xml:space="preserve">MEXICANOS. El párrafo tercero del artículo 1o. de la Constitución Política de los Estados Unidos Mexicanos dispone como obligaciones generales de las autoridades del Estado Mexicano las consistentes en: i) Respetar; ii) Proteger; iii) Garantizar; y, iv) Promover los derechos humanos, de conformidad con los principios rectores de universalidad, interdependencia, indivisibilidad y progresividad. De ahí que para determinar si una conducta específica de la autoridad importa violación a derechos fundamentales, debe evaluarse si se apega o no a la obligación de protegerlos. Ésta puede caracterizarse como </w:t>
      </w:r>
      <w:r w:rsidRPr="00072966">
        <w:rPr>
          <w:rFonts w:ascii="Palatino Linotype" w:hAnsi="Palatino Linotype" w:cs="Arial"/>
          <w:b/>
          <w:szCs w:val="24"/>
        </w:rPr>
        <w:t>el deber que tienen los órganos del Estado, dentro del margen de sus atribuciones, de prevenir violaciones a los derechos fundamentales,</w:t>
      </w:r>
      <w:r w:rsidRPr="00072966">
        <w:rPr>
          <w:rFonts w:ascii="Palatino Linotype" w:hAnsi="Palatino Linotype" w:cs="Arial"/>
          <w:szCs w:val="24"/>
        </w:rPr>
        <w:t xml:space="preserve"> ya sea que provengan de una autoridad o de algún particular y, por ello, </w:t>
      </w:r>
      <w:r w:rsidRPr="00072966">
        <w:rPr>
          <w:rFonts w:ascii="Palatino Linotype" w:hAnsi="Palatino Linotype" w:cs="Arial"/>
          <w:b/>
          <w:szCs w:val="24"/>
        </w:rPr>
        <w:t>debe contarse</w:t>
      </w:r>
      <w:r w:rsidRPr="00072966">
        <w:rPr>
          <w:rFonts w:ascii="Palatino Linotype" w:hAnsi="Palatino Linotype" w:cs="Arial"/>
          <w:szCs w:val="24"/>
        </w:rPr>
        <w:t xml:space="preserve"> tanto </w:t>
      </w:r>
      <w:r w:rsidRPr="00072966">
        <w:rPr>
          <w:rFonts w:ascii="Palatino Linotype" w:hAnsi="Palatino Linotype" w:cs="Arial"/>
          <w:b/>
          <w:szCs w:val="24"/>
        </w:rPr>
        <w:t>con mecanismos</w:t>
      </w:r>
      <w:r w:rsidRPr="00072966">
        <w:rPr>
          <w:rFonts w:ascii="Palatino Linotype" w:hAnsi="Palatino Linotype" w:cs="Arial"/>
          <w:szCs w:val="24"/>
        </w:rPr>
        <w:t xml:space="preserve"> de vigilancia como </w:t>
      </w:r>
      <w:r w:rsidRPr="00072966">
        <w:rPr>
          <w:rFonts w:ascii="Palatino Linotype" w:hAnsi="Palatino Linotype" w:cs="Arial"/>
          <w:b/>
          <w:szCs w:val="24"/>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Pr="00072966">
        <w:rPr>
          <w:rFonts w:ascii="Palatino Linotype" w:hAnsi="Palatino Linotype" w:cs="Arial"/>
          <w:szCs w:val="24"/>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Octubre de 2014, Tomo III, Página: 2840.</w:t>
      </w:r>
    </w:p>
    <w:p w:rsidR="0046491C" w:rsidRPr="00072966" w:rsidRDefault="0046491C" w:rsidP="00E34F08">
      <w:pPr>
        <w:pStyle w:val="Prrafodelista"/>
        <w:spacing w:after="0" w:line="360" w:lineRule="auto"/>
        <w:ind w:left="426"/>
        <w:jc w:val="both"/>
        <w:rPr>
          <w:rFonts w:ascii="Palatino Linotype" w:hAnsi="Palatino Linotype" w:cs="Arial"/>
          <w:szCs w:val="24"/>
        </w:rPr>
      </w:pPr>
    </w:p>
    <w:p w:rsidR="0046491C" w:rsidRPr="00072966" w:rsidRDefault="0046491C" w:rsidP="00E34F08">
      <w:pPr>
        <w:pStyle w:val="Prrafodelista"/>
        <w:numPr>
          <w:ilvl w:val="0"/>
          <w:numId w:val="1"/>
        </w:numPr>
        <w:spacing w:after="0" w:line="360" w:lineRule="auto"/>
        <w:jc w:val="both"/>
        <w:rPr>
          <w:rFonts w:ascii="Palatino Linotype" w:hAnsi="Palatino Linotype" w:cs="Arial"/>
          <w:szCs w:val="24"/>
        </w:rPr>
      </w:pPr>
      <w:r w:rsidRPr="00072966">
        <w:rPr>
          <w:rFonts w:ascii="Palatino Linotype" w:hAnsi="Palatino Linotype" w:cs="Arial"/>
          <w:szCs w:val="24"/>
        </w:rPr>
        <w:lastRenderedPageBreak/>
        <w:t xml:space="preserve"> Para el caso que nos ocupa y en general es innecesario incorporar en las resoluciones de un Órgano Garante como lo es el Instituto de Transparencia, Acceso a la Información Pública y Protección de Datos Personales del Estado de México y  Municipios a los actos consentidos  toda vez que los particulares al no impugnar alguno de los requerimientos solicitados, y de la respuesta ofrecida por parte de los </w:t>
      </w:r>
      <w:r w:rsidRPr="00072966">
        <w:rPr>
          <w:rFonts w:ascii="Palatino Linotype" w:hAnsi="Palatino Linotype" w:cs="Arial"/>
          <w:b/>
          <w:szCs w:val="24"/>
        </w:rPr>
        <w:t>SUJETOS OBLIGADOS</w:t>
      </w:r>
      <w:r w:rsidRPr="00072966">
        <w:rPr>
          <w:rFonts w:ascii="Palatino Linotype" w:hAnsi="Palatino Linotype" w:cs="Arial"/>
          <w:szCs w:val="24"/>
        </w:rPr>
        <w:t xml:space="preserve"> sea evidente la falta de alguno de ellos, en ese tenor los particulares se ven impedidos, en los hechos, a acceder a una información que fue solicitada. Ante tales casos, considero, este Órgano Garante debe cumplir con las obligaciones señaladas en el párrafo tercero del artículo primero de la Constitución Federal, lo que es posible a través de la suplencia de la queja, instrumento adecuado para prevenir una posible vulneración al derecho de acceso a la información y que además se encuentra disponible para ser operado por esta autoridad.</w:t>
      </w:r>
    </w:p>
    <w:p w:rsidR="00DF6F7E" w:rsidRPr="00072966" w:rsidRDefault="00DF6F7E" w:rsidP="00E34F08">
      <w:pPr>
        <w:pStyle w:val="Prrafodelista"/>
        <w:spacing w:line="360" w:lineRule="auto"/>
        <w:rPr>
          <w:rFonts w:ascii="Palatino Linotype" w:hAnsi="Palatino Linotype" w:cs="Arial"/>
          <w:szCs w:val="24"/>
        </w:rPr>
      </w:pPr>
    </w:p>
    <w:p w:rsidR="0046491C" w:rsidRPr="00072966" w:rsidRDefault="0046491C" w:rsidP="00E34F08">
      <w:pPr>
        <w:pStyle w:val="Prrafodelista"/>
        <w:numPr>
          <w:ilvl w:val="0"/>
          <w:numId w:val="1"/>
        </w:numPr>
        <w:spacing w:after="0" w:line="360" w:lineRule="auto"/>
        <w:ind w:left="284"/>
        <w:jc w:val="both"/>
        <w:rPr>
          <w:rFonts w:ascii="Palatino Linotype" w:hAnsi="Palatino Linotype" w:cs="Arial"/>
          <w:szCs w:val="24"/>
        </w:rPr>
      </w:pPr>
      <w:r w:rsidRPr="00072966">
        <w:rPr>
          <w:rFonts w:ascii="Palatino Linotype" w:hAnsi="Palatino Linotype" w:cs="Arial"/>
          <w:szCs w:val="24"/>
        </w:rPr>
        <w:t xml:space="preserve"> 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w:t>
      </w:r>
      <w:proofErr w:type="spellStart"/>
      <w:r w:rsidRPr="00072966">
        <w:rPr>
          <w:rFonts w:ascii="Palatino Linotype" w:hAnsi="Palatino Linotype" w:cs="Arial"/>
          <w:szCs w:val="24"/>
        </w:rPr>
        <w:t>procedibilidad</w:t>
      </w:r>
      <w:proofErr w:type="spellEnd"/>
      <w:r w:rsidRPr="00072966">
        <w:rPr>
          <w:rFonts w:ascii="Palatino Linotype" w:hAnsi="Palatino Linotype" w:cs="Arial"/>
          <w:szCs w:val="24"/>
        </w:rPr>
        <w:t>, ya que en todo momento nos encontramos ante un derecho más alto que, puede considerarse en los siguientes términos:</w:t>
      </w:r>
    </w:p>
    <w:p w:rsidR="0001046D" w:rsidRPr="00072966" w:rsidRDefault="0001046D" w:rsidP="00E34F08">
      <w:pPr>
        <w:pStyle w:val="Prrafodelista"/>
        <w:spacing w:after="0" w:line="360" w:lineRule="auto"/>
        <w:ind w:left="284"/>
        <w:jc w:val="both"/>
        <w:rPr>
          <w:rFonts w:ascii="Palatino Linotype" w:hAnsi="Palatino Linotype" w:cs="Arial"/>
          <w:sz w:val="24"/>
          <w:szCs w:val="24"/>
        </w:rPr>
      </w:pPr>
    </w:p>
    <w:p w:rsidR="0046491C" w:rsidRPr="00072966" w:rsidRDefault="0046491C" w:rsidP="001574EC">
      <w:pPr>
        <w:spacing w:after="0" w:line="360" w:lineRule="auto"/>
        <w:ind w:left="567" w:right="618"/>
        <w:jc w:val="both"/>
        <w:rPr>
          <w:rFonts w:ascii="Palatino Linotype" w:hAnsi="Palatino Linotype" w:cs="Arial"/>
          <w:i/>
        </w:rPr>
      </w:pPr>
      <w:r w:rsidRPr="00072966">
        <w:rPr>
          <w:rFonts w:ascii="Palatino Linotype" w:hAnsi="Palatino Linotype" w:cs="Arial"/>
          <w:i/>
        </w:rPr>
        <w:t xml:space="preserve">“Las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w:t>
      </w:r>
      <w:r w:rsidRPr="00072966">
        <w:rPr>
          <w:rFonts w:ascii="Palatino Linotype" w:hAnsi="Palatino Linotype" w:cs="Arial"/>
          <w:i/>
        </w:rPr>
        <w:lastRenderedPageBreak/>
        <w:t xml:space="preserve">generados por la heterogeneidad y </w:t>
      </w:r>
      <w:proofErr w:type="spellStart"/>
      <w:r w:rsidRPr="00072966">
        <w:rPr>
          <w:rFonts w:ascii="Palatino Linotype" w:hAnsi="Palatino Linotype" w:cs="Arial"/>
          <w:i/>
        </w:rPr>
        <w:t>ocasionalidad</w:t>
      </w:r>
      <w:proofErr w:type="spellEnd"/>
      <w:r w:rsidRPr="00072966">
        <w:rPr>
          <w:rFonts w:ascii="Palatino Linotype" w:hAnsi="Palatino Linotype" w:cs="Arial"/>
          <w:i/>
        </w:rPr>
        <w:t xml:space="preserve"> de las presiones sociales que se ejercen sobre el mismo”.</w:t>
      </w:r>
      <w:r w:rsidRPr="00072966">
        <w:rPr>
          <w:rStyle w:val="Refdenotaalpie"/>
          <w:rFonts w:ascii="Palatino Linotype" w:hAnsi="Palatino Linotype" w:cs="Arial"/>
          <w:i/>
        </w:rPr>
        <w:footnoteReference w:id="5"/>
      </w:r>
    </w:p>
    <w:p w:rsidR="009156AC" w:rsidRPr="00072966" w:rsidRDefault="009156AC" w:rsidP="00E34F08">
      <w:pPr>
        <w:spacing w:after="0" w:line="360" w:lineRule="auto"/>
        <w:ind w:left="1134" w:right="618"/>
        <w:jc w:val="both"/>
        <w:rPr>
          <w:rFonts w:ascii="Palatino Linotype" w:hAnsi="Palatino Linotype" w:cs="Arial"/>
          <w:i/>
        </w:rPr>
      </w:pPr>
    </w:p>
    <w:p w:rsidR="0046491C" w:rsidRPr="00043805" w:rsidRDefault="0046491C" w:rsidP="00E34F08">
      <w:pPr>
        <w:pStyle w:val="Prrafodelista"/>
        <w:numPr>
          <w:ilvl w:val="0"/>
          <w:numId w:val="1"/>
        </w:numPr>
        <w:spacing w:after="0" w:line="360" w:lineRule="auto"/>
        <w:ind w:left="426" w:hanging="426"/>
        <w:jc w:val="both"/>
        <w:rPr>
          <w:rFonts w:ascii="Palatino Linotype" w:hAnsi="Palatino Linotype" w:cs="Arial"/>
          <w:szCs w:val="24"/>
        </w:rPr>
      </w:pPr>
      <w:r w:rsidRPr="00072966">
        <w:rPr>
          <w:rFonts w:ascii="Palatino Linotype" w:hAnsi="Palatino Linotype" w:cs="Arial"/>
          <w:sz w:val="24"/>
          <w:szCs w:val="24"/>
        </w:rPr>
        <w:t xml:space="preserve"> </w:t>
      </w:r>
      <w:r w:rsidRPr="00043805">
        <w:rPr>
          <w:rFonts w:ascii="Palatino Linotype" w:hAnsi="Palatino Linotype" w:cs="Arial"/>
          <w:szCs w:val="24"/>
        </w:rPr>
        <w:t>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46491C" w:rsidRPr="00072966" w:rsidRDefault="0046491C" w:rsidP="00E34F08">
      <w:pPr>
        <w:pStyle w:val="Prrafodelista"/>
        <w:spacing w:after="0" w:line="360" w:lineRule="auto"/>
        <w:ind w:left="426"/>
        <w:jc w:val="both"/>
        <w:rPr>
          <w:rFonts w:ascii="Palatino Linotype" w:hAnsi="Palatino Linotype" w:cs="Arial"/>
          <w:sz w:val="24"/>
          <w:szCs w:val="24"/>
        </w:rPr>
      </w:pPr>
    </w:p>
    <w:p w:rsidR="0046491C" w:rsidRPr="00072966" w:rsidRDefault="0046491C" w:rsidP="00E34F08">
      <w:pPr>
        <w:pStyle w:val="Prrafodelista"/>
        <w:numPr>
          <w:ilvl w:val="0"/>
          <w:numId w:val="1"/>
        </w:numPr>
        <w:spacing w:line="360" w:lineRule="auto"/>
        <w:ind w:left="426" w:hanging="426"/>
        <w:jc w:val="both"/>
        <w:rPr>
          <w:rFonts w:ascii="Palatino Linotype" w:hAnsi="Palatino Linotype" w:cs="Arial"/>
          <w:sz w:val="24"/>
          <w:szCs w:val="24"/>
        </w:rPr>
      </w:pPr>
      <w:r w:rsidRPr="00072966">
        <w:rPr>
          <w:rFonts w:ascii="Palatino Linotype" w:hAnsi="Palatino Linotype" w:cs="Arial"/>
          <w:sz w:val="24"/>
          <w:szCs w:val="24"/>
        </w:rPr>
        <w:t xml:space="preserve">Considero que no se justifica el argumento que se ha señalado en múltiples ocasiones y que comparte la mayoría en relación a “si no ésta expresa razón o motivo de inconformidad en contra de todos los rubros solicitados, dichos rubros deben declararse atendidos, pues se infiere que el recurrente ésta conforme con la información entregada al no contravenir la misma”. Este Órgano Garante debe revisar en forma minuciosa en todos los casos, si se le entregó a los peticionarios todos y cada uno de los puntos que fueron solicitados, de esta forma se podrá verificar si el particular no se inconforma porque en efecto le han sido colmadas sus peticiones y por ello se tiene por satisfecho el Derecho de Acceder a la Información Pública, o bien, no le han sido colmados </w:t>
      </w:r>
      <w:r w:rsidRPr="00072966">
        <w:rPr>
          <w:rFonts w:ascii="Palatino Linotype" w:hAnsi="Palatino Linotype" w:cs="Arial"/>
          <w:sz w:val="24"/>
          <w:szCs w:val="24"/>
        </w:rPr>
        <w:lastRenderedPageBreak/>
        <w:t>todos sus requerimientos y omite manifestarse al respecto, por diversos factores que a su alrededor ocurran y le puedan afectar. Además de ser un Órgano Garante, somos un Órgano Revisor y en ese sentido no podemos pasar inadvertido el hecho de no analizar la totalidad de requerimientos solicitados cuando no se pronuncien al respecto, cuando sea evidente que no han sido colmados, en ese sentido no estaríamos garantizando el derecho fundamental.</w:t>
      </w:r>
    </w:p>
    <w:p w:rsidR="00DF6F7E" w:rsidRPr="00072966" w:rsidRDefault="00DF6F7E" w:rsidP="00E34F08">
      <w:pPr>
        <w:pStyle w:val="Prrafodelista"/>
        <w:spacing w:line="360" w:lineRule="auto"/>
        <w:jc w:val="both"/>
        <w:rPr>
          <w:rFonts w:ascii="Palatino Linotype" w:hAnsi="Palatino Linotype" w:cs="Arial"/>
          <w:sz w:val="24"/>
          <w:szCs w:val="24"/>
        </w:rPr>
      </w:pPr>
    </w:p>
    <w:p w:rsidR="0046491C"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72966">
        <w:rPr>
          <w:rFonts w:ascii="Palatino Linotype" w:hAnsi="Palatino Linotype" w:cs="Arial"/>
          <w:sz w:val="24"/>
          <w:szCs w:val="24"/>
        </w:rPr>
        <w:t xml:space="preserve">Adoptar la posición que propongo pretende ordenar un acto de plena certeza, el que siempre puede ser matizado por un “en su caso” que restringe la medida ordenada a que ésta no se haya realizado ya, lo que puede constituir un exceso, cierto, pero a todas luces admisible en materia de protección del derecho humano lo que, considero, fortalece al Estado Constitucional de Derecho, en lugar de vulnerarlo. </w:t>
      </w:r>
    </w:p>
    <w:p w:rsidR="00043805" w:rsidRDefault="00043805" w:rsidP="00043805">
      <w:pPr>
        <w:spacing w:after="0" w:line="360" w:lineRule="auto"/>
        <w:jc w:val="both"/>
        <w:rPr>
          <w:rFonts w:ascii="Palatino Linotype" w:hAnsi="Palatino Linotype" w:cs="Arial"/>
          <w:sz w:val="24"/>
          <w:szCs w:val="24"/>
        </w:rPr>
      </w:pPr>
    </w:p>
    <w:p w:rsidR="00043805" w:rsidRDefault="00043805" w:rsidP="00043805">
      <w:pPr>
        <w:spacing w:after="0" w:line="360" w:lineRule="auto"/>
        <w:jc w:val="both"/>
        <w:rPr>
          <w:rFonts w:ascii="Palatino Linotype" w:hAnsi="Palatino Linotype" w:cs="Arial"/>
          <w:sz w:val="24"/>
          <w:szCs w:val="24"/>
        </w:rPr>
      </w:pPr>
    </w:p>
    <w:p w:rsidR="00043805" w:rsidRDefault="00043805" w:rsidP="00043805">
      <w:pPr>
        <w:spacing w:after="0" w:line="360" w:lineRule="auto"/>
        <w:jc w:val="both"/>
        <w:rPr>
          <w:rFonts w:ascii="Palatino Linotype" w:hAnsi="Palatino Linotype" w:cs="Arial"/>
          <w:sz w:val="24"/>
          <w:szCs w:val="24"/>
        </w:rPr>
      </w:pPr>
    </w:p>
    <w:p w:rsidR="001C62B2" w:rsidRPr="00043805" w:rsidRDefault="001C62B2" w:rsidP="00043805">
      <w:pPr>
        <w:spacing w:after="0" w:line="360" w:lineRule="auto"/>
        <w:jc w:val="both"/>
        <w:rPr>
          <w:rFonts w:ascii="Palatino Linotype" w:hAnsi="Palatino Linotype" w:cs="Arial"/>
          <w:sz w:val="24"/>
          <w:szCs w:val="24"/>
        </w:rPr>
      </w:pPr>
    </w:p>
    <w:p w:rsidR="00702BD9" w:rsidRPr="00072966" w:rsidRDefault="00702BD9" w:rsidP="00702BD9">
      <w:pPr>
        <w:pStyle w:val="Prrafodelista"/>
        <w:spacing w:after="0" w:line="360" w:lineRule="auto"/>
        <w:ind w:left="426"/>
        <w:jc w:val="both"/>
        <w:rPr>
          <w:rFonts w:ascii="Palatino Linotype" w:hAnsi="Palatino Linotype" w:cs="Arial"/>
          <w:sz w:val="24"/>
          <w:szCs w:val="24"/>
        </w:rPr>
      </w:pPr>
    </w:p>
    <w:p w:rsidR="0046491C" w:rsidRPr="00072966" w:rsidRDefault="0046491C" w:rsidP="00E34F08">
      <w:pPr>
        <w:pStyle w:val="Sinespaciado"/>
        <w:spacing w:line="360" w:lineRule="auto"/>
        <w:jc w:val="center"/>
        <w:rPr>
          <w:rFonts w:ascii="Palatino Linotype" w:hAnsi="Palatino Linotype"/>
          <w:b/>
          <w:sz w:val="24"/>
          <w:szCs w:val="24"/>
        </w:rPr>
      </w:pPr>
      <w:r w:rsidRPr="00072966">
        <w:rPr>
          <w:rFonts w:ascii="Palatino Linotype" w:hAnsi="Palatino Linotype"/>
          <w:b/>
          <w:sz w:val="24"/>
          <w:szCs w:val="24"/>
        </w:rPr>
        <w:t>JOSÉ GUADALUPE LUNA HERNÁNDEZ</w:t>
      </w:r>
    </w:p>
    <w:p w:rsidR="0046491C" w:rsidRPr="00072966" w:rsidRDefault="0046491C" w:rsidP="00E34F08">
      <w:pPr>
        <w:spacing w:line="360" w:lineRule="auto"/>
        <w:jc w:val="center"/>
        <w:rPr>
          <w:rFonts w:ascii="Palatino Linotype" w:hAnsi="Palatino Linotype"/>
        </w:rPr>
      </w:pPr>
      <w:r w:rsidRPr="00072966">
        <w:rPr>
          <w:rFonts w:ascii="Palatino Linotype" w:hAnsi="Palatino Linotype"/>
          <w:b/>
          <w:sz w:val="24"/>
          <w:szCs w:val="24"/>
        </w:rPr>
        <w:t>COMISIONADO</w:t>
      </w:r>
    </w:p>
    <w:p w:rsidR="00D33AF9" w:rsidRPr="00072966" w:rsidRDefault="00D33AF9" w:rsidP="00E34F08">
      <w:pPr>
        <w:spacing w:line="360" w:lineRule="auto"/>
        <w:jc w:val="center"/>
        <w:rPr>
          <w:rFonts w:ascii="Palatino Linotype" w:hAnsi="Palatino Linotype"/>
          <w:b/>
          <w:sz w:val="24"/>
          <w:szCs w:val="24"/>
        </w:rPr>
      </w:pPr>
      <w:r w:rsidRPr="00072966">
        <w:rPr>
          <w:rFonts w:ascii="Palatino Linotype" w:hAnsi="Palatino Linotype"/>
          <w:b/>
          <w:sz w:val="24"/>
          <w:szCs w:val="24"/>
        </w:rPr>
        <w:t>(Rúbrica)</w:t>
      </w:r>
    </w:p>
    <w:p w:rsidR="00575478" w:rsidRPr="00072966" w:rsidRDefault="00575478" w:rsidP="00575478">
      <w:pPr>
        <w:spacing w:line="360" w:lineRule="auto"/>
        <w:rPr>
          <w:rFonts w:ascii="Palatino Linotype" w:hAnsi="Palatino Linotype"/>
          <w:b/>
          <w:sz w:val="24"/>
          <w:szCs w:val="24"/>
        </w:rPr>
      </w:pPr>
      <w:r w:rsidRPr="00072966">
        <w:rPr>
          <w:rFonts w:ascii="Palatino Linotype" w:hAnsi="Palatino Linotype"/>
          <w:b/>
          <w:sz w:val="24"/>
          <w:szCs w:val="24"/>
        </w:rPr>
        <w:t>JGLH/ADM.</w:t>
      </w:r>
    </w:p>
    <w:sectPr w:rsidR="00575478" w:rsidRPr="00072966" w:rsidSect="00DA55B8">
      <w:headerReference w:type="even" r:id="rId8"/>
      <w:headerReference w:type="default" r:id="rId9"/>
      <w:footerReference w:type="even" r:id="rId10"/>
      <w:footerReference w:type="default" r:id="rId11"/>
      <w:headerReference w:type="first" r:id="rId12"/>
      <w:footerReference w:type="first" r:id="rId13"/>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792" w:rsidRDefault="00950792" w:rsidP="00E706DA">
      <w:pPr>
        <w:spacing w:after="0" w:line="240" w:lineRule="auto"/>
      </w:pPr>
      <w:r>
        <w:separator/>
      </w:r>
    </w:p>
  </w:endnote>
  <w:endnote w:type="continuationSeparator" w:id="0">
    <w:p w:rsidR="00950792" w:rsidRDefault="00950792"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611BE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611BE3">
              <w:rPr>
                <w:rFonts w:ascii="Palatino Linotype" w:hAnsi="Palatino Linotype"/>
                <w:b/>
                <w:bCs/>
                <w:noProof/>
                <w:sz w:val="20"/>
                <w:szCs w:val="20"/>
              </w:rPr>
              <w:t>14</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611BE3">
              <w:rPr>
                <w:rFonts w:ascii="Palatino Linotype" w:hAnsi="Palatino Linotype"/>
                <w:b/>
                <w:bCs/>
                <w:noProof/>
                <w:sz w:val="20"/>
                <w:szCs w:val="20"/>
              </w:rPr>
              <w:t>14</w:t>
            </w:r>
            <w:r w:rsidRPr="0052203D">
              <w:rPr>
                <w:rFonts w:ascii="Palatino Linotype" w:hAnsi="Palatino Linotype"/>
                <w:b/>
                <w:bCs/>
                <w:sz w:val="20"/>
                <w:szCs w:val="20"/>
              </w:rPr>
              <w:fldChar w:fldCharType="end"/>
            </w:r>
          </w:p>
        </w:sdtContent>
      </w:sdt>
    </w:sdtContent>
  </w:sdt>
  <w:p w:rsidR="00951E8B" w:rsidRDefault="00611BE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611BE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792" w:rsidRDefault="00950792" w:rsidP="00E706DA">
      <w:pPr>
        <w:spacing w:after="0" w:line="240" w:lineRule="auto"/>
      </w:pPr>
      <w:r>
        <w:separator/>
      </w:r>
    </w:p>
  </w:footnote>
  <w:footnote w:type="continuationSeparator" w:id="0">
    <w:p w:rsidR="00950792" w:rsidRDefault="00950792" w:rsidP="00E706DA">
      <w:pPr>
        <w:spacing w:after="0" w:line="240" w:lineRule="auto"/>
      </w:pPr>
      <w:r>
        <w:continuationSeparator/>
      </w:r>
    </w:p>
  </w:footnote>
  <w:footnote w:id="1">
    <w:p w:rsidR="0046491C" w:rsidRDefault="0046491C" w:rsidP="0046491C">
      <w:pPr>
        <w:pStyle w:val="Textonotapie"/>
      </w:pPr>
      <w:r>
        <w:rPr>
          <w:rStyle w:val="Refdenotaalpie"/>
        </w:rPr>
        <w:footnoteRef/>
      </w:r>
      <w:r>
        <w:t xml:space="preserve"> Instituto de Investigaciones Jurídicas. </w:t>
      </w:r>
      <w:r w:rsidRPr="00C775C0">
        <w:rPr>
          <w:i/>
        </w:rPr>
        <w:t>Diccionario Jurídico Mexicano.</w:t>
      </w:r>
      <w:r>
        <w:t xml:space="preserve"> México, </w:t>
      </w:r>
      <w:proofErr w:type="spellStart"/>
      <w:r>
        <w:t>Coed</w:t>
      </w:r>
      <w:proofErr w:type="spellEnd"/>
      <w:r>
        <w:t>. Porrúa e Instituto de Investigaciones Jurídicas de la UNAM, 2001. Pág. 3593.</w:t>
      </w:r>
    </w:p>
  </w:footnote>
  <w:footnote w:id="2">
    <w:p w:rsidR="0046491C" w:rsidRDefault="0046491C" w:rsidP="0046491C">
      <w:pPr>
        <w:pStyle w:val="Textonotapie"/>
      </w:pPr>
      <w:r>
        <w:rPr>
          <w:rStyle w:val="Refdenotaalpie"/>
        </w:rPr>
        <w:footnoteRef/>
      </w:r>
      <w:r>
        <w:t xml:space="preserve"> </w:t>
      </w:r>
      <w:r w:rsidRPr="00C775C0">
        <w:rPr>
          <w:i/>
        </w:rPr>
        <w:t>Ibídem</w:t>
      </w:r>
      <w:r>
        <w:t>. Pág. 3594.</w:t>
      </w:r>
    </w:p>
  </w:footnote>
  <w:footnote w:id="3">
    <w:p w:rsidR="0046491C" w:rsidRDefault="0046491C" w:rsidP="0046491C">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 w:id="4">
    <w:p w:rsidR="0046491C" w:rsidRDefault="0046491C" w:rsidP="0046491C">
      <w:pPr>
        <w:pStyle w:val="Textonotapie"/>
      </w:pPr>
      <w:r>
        <w:rPr>
          <w:rStyle w:val="Refdenotaalpie"/>
        </w:rPr>
        <w:footnoteRef/>
      </w:r>
      <w:r>
        <w:t xml:space="preserve"> COTTA, Sergio. </w:t>
      </w:r>
      <w:r w:rsidRPr="00F50476">
        <w:rPr>
          <w:i/>
        </w:rPr>
        <w:t>Justificación y obligatoriedad de las normas.</w:t>
      </w:r>
      <w:r>
        <w:t xml:space="preserve"> Madrid. Ed. </w:t>
      </w:r>
      <w:proofErr w:type="spellStart"/>
      <w:r>
        <w:t>Ceura</w:t>
      </w:r>
      <w:proofErr w:type="spellEnd"/>
      <w:r>
        <w:t>, 1987. Pág. 10.</w:t>
      </w:r>
    </w:p>
  </w:footnote>
  <w:footnote w:id="5">
    <w:p w:rsidR="0046491C" w:rsidRDefault="0046491C" w:rsidP="0046491C">
      <w:pPr>
        <w:pStyle w:val="Textonotapie"/>
      </w:pPr>
      <w:r>
        <w:rPr>
          <w:rStyle w:val="Refdenotaalpie"/>
        </w:rPr>
        <w:footnoteRef/>
      </w:r>
      <w:r>
        <w:t xml:space="preserve"> </w:t>
      </w:r>
      <w:proofErr w:type="spellStart"/>
      <w:r>
        <w:t>Zagrebelsky</w:t>
      </w:r>
      <w:proofErr w:type="spellEnd"/>
      <w:r>
        <w:t xml:space="preserve">,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611BE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611BE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611BE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611BE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33656"/>
    <w:multiLevelType w:val="hybridMultilevel"/>
    <w:tmpl w:val="64B288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85593A"/>
    <w:multiLevelType w:val="hybridMultilevel"/>
    <w:tmpl w:val="1AD49F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
    <w:nsid w:val="1FFA6731"/>
    <w:multiLevelType w:val="hybridMultilevel"/>
    <w:tmpl w:val="2B28E204"/>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nsid w:val="2A4A0C7A"/>
    <w:multiLevelType w:val="hybridMultilevel"/>
    <w:tmpl w:val="642EA64C"/>
    <w:lvl w:ilvl="0" w:tplc="224E67B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03E5810"/>
    <w:multiLevelType w:val="hybridMultilevel"/>
    <w:tmpl w:val="78A241F8"/>
    <w:lvl w:ilvl="0" w:tplc="CACA3A86">
      <w:start w:val="1"/>
      <w:numFmt w:val="upperRoman"/>
      <w:lvlText w:val="%1."/>
      <w:lvlJc w:val="left"/>
      <w:pPr>
        <w:ind w:left="1080" w:hanging="720"/>
      </w:pPr>
      <w:rPr>
        <w:rFonts w:hint="default"/>
      </w:rPr>
    </w:lvl>
    <w:lvl w:ilvl="1" w:tplc="51582276">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ABA140E"/>
    <w:multiLevelType w:val="hybridMultilevel"/>
    <w:tmpl w:val="17F4515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A537B6A"/>
    <w:multiLevelType w:val="hybridMultilevel"/>
    <w:tmpl w:val="80C6A34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9147BFF"/>
    <w:multiLevelType w:val="hybridMultilevel"/>
    <w:tmpl w:val="8AA4582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DA239B5"/>
    <w:multiLevelType w:val="hybridMultilevel"/>
    <w:tmpl w:val="38A6C9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
  </w:num>
  <w:num w:numId="3">
    <w:abstractNumId w:val="7"/>
  </w:num>
  <w:num w:numId="4">
    <w:abstractNumId w:val="9"/>
  </w:num>
  <w:num w:numId="5">
    <w:abstractNumId w:val="11"/>
  </w:num>
  <w:num w:numId="6">
    <w:abstractNumId w:val="13"/>
  </w:num>
  <w:num w:numId="7">
    <w:abstractNumId w:val="17"/>
  </w:num>
  <w:num w:numId="8">
    <w:abstractNumId w:val="15"/>
  </w:num>
  <w:num w:numId="9">
    <w:abstractNumId w:val="20"/>
  </w:num>
  <w:num w:numId="10">
    <w:abstractNumId w:val="3"/>
  </w:num>
  <w:num w:numId="11">
    <w:abstractNumId w:val="19"/>
  </w:num>
  <w:num w:numId="12">
    <w:abstractNumId w:val="8"/>
  </w:num>
  <w:num w:numId="13">
    <w:abstractNumId w:val="4"/>
  </w:num>
  <w:num w:numId="14">
    <w:abstractNumId w:val="6"/>
  </w:num>
  <w:num w:numId="15">
    <w:abstractNumId w:val="14"/>
  </w:num>
  <w:num w:numId="16">
    <w:abstractNumId w:val="1"/>
  </w:num>
  <w:num w:numId="17">
    <w:abstractNumId w:val="0"/>
  </w:num>
  <w:num w:numId="18">
    <w:abstractNumId w:val="10"/>
  </w:num>
  <w:num w:numId="19">
    <w:abstractNumId w:val="5"/>
  </w:num>
  <w:num w:numId="20">
    <w:abstractNumId w:val="1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1046D"/>
    <w:rsid w:val="00016A9F"/>
    <w:rsid w:val="00043805"/>
    <w:rsid w:val="00072966"/>
    <w:rsid w:val="00073F0D"/>
    <w:rsid w:val="00085188"/>
    <w:rsid w:val="000951B4"/>
    <w:rsid w:val="000A77B5"/>
    <w:rsid w:val="000A7B66"/>
    <w:rsid w:val="000D1743"/>
    <w:rsid w:val="000F6CBB"/>
    <w:rsid w:val="0010615C"/>
    <w:rsid w:val="001102C3"/>
    <w:rsid w:val="00122625"/>
    <w:rsid w:val="001574EC"/>
    <w:rsid w:val="00194B6A"/>
    <w:rsid w:val="001A51F3"/>
    <w:rsid w:val="001C545F"/>
    <w:rsid w:val="001C62B2"/>
    <w:rsid w:val="001D3F34"/>
    <w:rsid w:val="001E0928"/>
    <w:rsid w:val="0020315F"/>
    <w:rsid w:val="002036ED"/>
    <w:rsid w:val="00214EC5"/>
    <w:rsid w:val="00225026"/>
    <w:rsid w:val="00260D6C"/>
    <w:rsid w:val="002620E9"/>
    <w:rsid w:val="00281310"/>
    <w:rsid w:val="002C1F75"/>
    <w:rsid w:val="002D6857"/>
    <w:rsid w:val="002E1956"/>
    <w:rsid w:val="00333DB9"/>
    <w:rsid w:val="00343601"/>
    <w:rsid w:val="00346358"/>
    <w:rsid w:val="00346DBD"/>
    <w:rsid w:val="00367E00"/>
    <w:rsid w:val="003705BB"/>
    <w:rsid w:val="003747A5"/>
    <w:rsid w:val="00386688"/>
    <w:rsid w:val="00393E96"/>
    <w:rsid w:val="003D7B9E"/>
    <w:rsid w:val="00412952"/>
    <w:rsid w:val="00424DE3"/>
    <w:rsid w:val="00444048"/>
    <w:rsid w:val="00452F18"/>
    <w:rsid w:val="0046491C"/>
    <w:rsid w:val="00471ACB"/>
    <w:rsid w:val="0048490F"/>
    <w:rsid w:val="004C6BBF"/>
    <w:rsid w:val="00525DF2"/>
    <w:rsid w:val="00532410"/>
    <w:rsid w:val="00575478"/>
    <w:rsid w:val="005A3267"/>
    <w:rsid w:val="005D4F74"/>
    <w:rsid w:val="005F6A90"/>
    <w:rsid w:val="00611BE3"/>
    <w:rsid w:val="00634736"/>
    <w:rsid w:val="00643C7E"/>
    <w:rsid w:val="006728FD"/>
    <w:rsid w:val="0069498B"/>
    <w:rsid w:val="006D268B"/>
    <w:rsid w:val="00702BD9"/>
    <w:rsid w:val="00717C0D"/>
    <w:rsid w:val="0072136B"/>
    <w:rsid w:val="0076241F"/>
    <w:rsid w:val="00770016"/>
    <w:rsid w:val="00790E37"/>
    <w:rsid w:val="007A7FAD"/>
    <w:rsid w:val="007C43FB"/>
    <w:rsid w:val="007D1488"/>
    <w:rsid w:val="00814E97"/>
    <w:rsid w:val="00817341"/>
    <w:rsid w:val="0082452E"/>
    <w:rsid w:val="008361CA"/>
    <w:rsid w:val="008460C4"/>
    <w:rsid w:val="00847389"/>
    <w:rsid w:val="00850252"/>
    <w:rsid w:val="00856FA1"/>
    <w:rsid w:val="008702E8"/>
    <w:rsid w:val="008822B3"/>
    <w:rsid w:val="008858F1"/>
    <w:rsid w:val="008911CF"/>
    <w:rsid w:val="008977B4"/>
    <w:rsid w:val="008B03B6"/>
    <w:rsid w:val="008E1DCC"/>
    <w:rsid w:val="008F3E81"/>
    <w:rsid w:val="00900E75"/>
    <w:rsid w:val="00902248"/>
    <w:rsid w:val="009156AC"/>
    <w:rsid w:val="00927C4F"/>
    <w:rsid w:val="00937AD9"/>
    <w:rsid w:val="00937D7D"/>
    <w:rsid w:val="0094239C"/>
    <w:rsid w:val="00950792"/>
    <w:rsid w:val="009A3355"/>
    <w:rsid w:val="009C4EF6"/>
    <w:rsid w:val="009D2892"/>
    <w:rsid w:val="00A043A9"/>
    <w:rsid w:val="00A626F8"/>
    <w:rsid w:val="00A63717"/>
    <w:rsid w:val="00AA49F3"/>
    <w:rsid w:val="00AB023D"/>
    <w:rsid w:val="00AB126B"/>
    <w:rsid w:val="00AC381E"/>
    <w:rsid w:val="00AE4797"/>
    <w:rsid w:val="00AE5BD5"/>
    <w:rsid w:val="00B120CA"/>
    <w:rsid w:val="00B62245"/>
    <w:rsid w:val="00B951FF"/>
    <w:rsid w:val="00BC7B0C"/>
    <w:rsid w:val="00BF2070"/>
    <w:rsid w:val="00BF3534"/>
    <w:rsid w:val="00C3709F"/>
    <w:rsid w:val="00C41CE1"/>
    <w:rsid w:val="00C7250F"/>
    <w:rsid w:val="00C872FA"/>
    <w:rsid w:val="00C901A6"/>
    <w:rsid w:val="00CE0823"/>
    <w:rsid w:val="00D1242B"/>
    <w:rsid w:val="00D15396"/>
    <w:rsid w:val="00D33AF9"/>
    <w:rsid w:val="00D363F7"/>
    <w:rsid w:val="00D5296C"/>
    <w:rsid w:val="00D72985"/>
    <w:rsid w:val="00D7508B"/>
    <w:rsid w:val="00DB7D4E"/>
    <w:rsid w:val="00DF6F7E"/>
    <w:rsid w:val="00E34F08"/>
    <w:rsid w:val="00E61AB8"/>
    <w:rsid w:val="00E706DA"/>
    <w:rsid w:val="00E83E93"/>
    <w:rsid w:val="00E90EB5"/>
    <w:rsid w:val="00E94FBF"/>
    <w:rsid w:val="00EF0C2D"/>
    <w:rsid w:val="00F45161"/>
    <w:rsid w:val="00F46E78"/>
    <w:rsid w:val="00F5642A"/>
    <w:rsid w:val="00F747F8"/>
    <w:rsid w:val="00F857BC"/>
    <w:rsid w:val="00FC5012"/>
    <w:rsid w:val="00FF0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CC4B86-6235-46F3-BD8F-C40EE9A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83E93"/>
    <w:pPr>
      <w:spacing w:after="100"/>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1666277299">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A350F-7C62-4CBD-8C7B-59B73FB1E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14</Pages>
  <Words>3084</Words>
  <Characters>16965</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2017-05-22T19:49:00Z</cp:lastPrinted>
  <dcterms:created xsi:type="dcterms:W3CDTF">2018-12-10T23:50:00Z</dcterms:created>
  <dcterms:modified xsi:type="dcterms:W3CDTF">2019-01-30T00:32:00Z</dcterms:modified>
</cp:coreProperties>
</file>